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819" w:rsidP="79DD7CC6" w:rsidRDefault="00B36675" w14:paraId="00000001" w14:textId="41C143CD">
      <w:pPr>
        <w:pStyle w:val="Normal"/>
        <w:spacing w:before="240" w:after="240"/>
        <w:rPr>
          <w:rFonts w:ascii="Garamond" w:hAnsi="Garamond" w:eastAsia="Garamond" w:cs="Garamond"/>
          <w:b w:val="1"/>
          <w:bCs w:val="1"/>
          <w:sz w:val="24"/>
          <w:szCs w:val="24"/>
          <w:lang w:val="en-US"/>
        </w:rPr>
      </w:pPr>
      <w:r w:rsidRPr="79DD7CC6" w:rsidR="00B36675">
        <w:rPr>
          <w:rFonts w:ascii="Garamond" w:hAnsi="Garamond" w:eastAsia="Garamond" w:cs="Garamond"/>
          <w:b w:val="1"/>
          <w:bCs w:val="1"/>
          <w:sz w:val="24"/>
          <w:szCs w:val="24"/>
          <w:lang w:val="en-US"/>
        </w:rPr>
        <w:t>Literature Scan of Open Science and Community-Engaged Environmental Research in the Gulf South:</w:t>
      </w:r>
      <w:r w:rsidRPr="79DD7CC6" w:rsidR="7B817C3E">
        <w:rPr>
          <w:rFonts w:ascii="Garamond" w:hAnsi="Garamond" w:eastAsia="Garamond" w:cs="Garamond"/>
          <w:b w:val="1"/>
          <w:bCs w:val="1"/>
          <w:sz w:val="24"/>
          <w:szCs w:val="24"/>
          <w:lang w:val="en-US"/>
        </w:rPr>
        <w:t xml:space="preserve"> </w:t>
      </w:r>
      <w:r w:rsidRPr="79DD7CC6" w:rsidR="7B817C3E">
        <w:rPr>
          <w:rFonts w:ascii="Garamond" w:hAnsi="Garamond" w:eastAsia="Garamond" w:cs="Garamond"/>
          <w:b w:val="1"/>
          <w:bCs w:val="1"/>
          <w:sz w:val="24"/>
          <w:szCs w:val="24"/>
          <w:lang w:val="en-US"/>
        </w:rPr>
        <w:t>Identified</w:t>
      </w:r>
      <w:r w:rsidRPr="79DD7CC6" w:rsidR="7B817C3E">
        <w:rPr>
          <w:rFonts w:ascii="Garamond" w:hAnsi="Garamond" w:eastAsia="Garamond" w:cs="Garamond"/>
          <w:b w:val="1"/>
          <w:bCs w:val="1"/>
          <w:sz w:val="24"/>
          <w:szCs w:val="24"/>
          <w:lang w:val="en-US"/>
        </w:rPr>
        <w:t xml:space="preserve"> Hotspots</w:t>
      </w:r>
      <w:r w:rsidRPr="79DD7CC6" w:rsidR="00B36675">
        <w:rPr>
          <w:rFonts w:ascii="Garamond" w:hAnsi="Garamond" w:eastAsia="Garamond" w:cs="Garamond"/>
          <w:b w:val="1"/>
          <w:bCs w:val="1"/>
          <w:sz w:val="24"/>
          <w:szCs w:val="24"/>
          <w:lang w:val="en-US"/>
        </w:rPr>
        <w:t xml:space="preserve"> and Gaps</w:t>
      </w:r>
      <w:r w:rsidRPr="79DD7CC6" w:rsidR="049896A6">
        <w:rPr>
          <w:rFonts w:ascii="Garamond" w:hAnsi="Garamond" w:eastAsia="Garamond" w:cs="Garamond"/>
          <w:b w:val="1"/>
          <w:bCs w:val="1"/>
          <w:sz w:val="24"/>
          <w:szCs w:val="24"/>
          <w:lang w:val="en-US"/>
        </w:rPr>
        <w:t xml:space="preserve"> to inform AGEJLE-OS convenings and support</w:t>
      </w:r>
    </w:p>
    <w:p w:rsidR="00F55819" w:rsidP="79DD7CC6" w:rsidRDefault="00B36675" w14:paraId="00000002" w14:textId="77777777">
      <w:pPr>
        <w:spacing w:before="240" w:after="240"/>
        <w:rPr>
          <w:rFonts w:ascii="Garamond" w:hAnsi="Garamond" w:eastAsia="Garamond" w:cs="Garamond"/>
          <w:b w:val="1"/>
          <w:bCs w:val="1"/>
          <w:color w:val="FF0000"/>
          <w:sz w:val="24"/>
          <w:szCs w:val="24"/>
        </w:rPr>
      </w:pPr>
      <w:r w:rsidRPr="79DD7CC6" w:rsidR="00B36675">
        <w:rPr>
          <w:rFonts w:ascii="Garamond" w:hAnsi="Garamond" w:eastAsia="Garamond" w:cs="Garamond"/>
          <w:b w:val="1"/>
          <w:bCs w:val="1"/>
          <w:color w:val="FF0000"/>
          <w:sz w:val="24"/>
          <w:szCs w:val="24"/>
        </w:rPr>
        <w:t>Draft – not for circulation</w:t>
      </w:r>
    </w:p>
    <w:p w:rsidR="00F55819" w:rsidP="79DD7CC6" w:rsidRDefault="00B36675" w14:paraId="00000003" w14:textId="77777777">
      <w:pPr>
        <w:pStyle w:val="Heading3"/>
        <w:keepNext w:val="0"/>
        <w:keepLines w:val="0"/>
        <w:spacing w:before="280"/>
        <w:rPr>
          <w:rFonts w:ascii="Garamond" w:hAnsi="Garamond" w:eastAsia="Garamond" w:cs="Garamond"/>
          <w:b w:val="1"/>
          <w:bCs w:val="1"/>
          <w:color w:val="000000"/>
          <w:sz w:val="24"/>
          <w:szCs w:val="24"/>
        </w:rPr>
      </w:pPr>
      <w:bookmarkStart w:name="_rcuh25sx3za5" w:id="0"/>
      <w:bookmarkEnd w:id="0"/>
      <w:r w:rsidRPr="79DD7CC6" w:rsidR="00B36675">
        <w:rPr>
          <w:rFonts w:ascii="Garamond" w:hAnsi="Garamond" w:eastAsia="Garamond" w:cs="Garamond"/>
          <w:b w:val="1"/>
          <w:bCs w:val="1"/>
          <w:color w:val="000000" w:themeColor="text1" w:themeTint="FF" w:themeShade="FF"/>
          <w:sz w:val="24"/>
          <w:szCs w:val="24"/>
        </w:rPr>
        <w:t>Introduction and Scope</w:t>
      </w:r>
    </w:p>
    <w:p w:rsidR="00F55819" w:rsidP="79DD7CC6" w:rsidRDefault="00B36675" w14:paraId="00000004"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This literature scan examines the state of open science and community-engaged environmental research in the U.S. Gulf South, with a focus on Louisiana and adjacent coastal states. The region is widely recognized as an environmental justice hotspot, shaped by concentrated industrial activity, recurrent climate hazards, persistent racial and economic inequities, and high cumulative health burdens. Despite this prominence in policy discourse and advocacy practice, the Gulf South </w:t>
      </w:r>
      <w:r w:rsidRPr="79DD7CC6" w:rsidR="00B36675">
        <w:rPr>
          <w:rFonts w:ascii="Garamond" w:hAnsi="Garamond" w:eastAsia="Garamond" w:cs="Garamond"/>
          <w:sz w:val="24"/>
          <w:szCs w:val="24"/>
          <w:lang w:val="en-US"/>
        </w:rPr>
        <w:t>remains</w:t>
      </w:r>
      <w:r w:rsidRPr="79DD7CC6" w:rsidR="00B36675">
        <w:rPr>
          <w:rFonts w:ascii="Garamond" w:hAnsi="Garamond" w:eastAsia="Garamond" w:cs="Garamond"/>
          <w:sz w:val="24"/>
          <w:szCs w:val="24"/>
          <w:lang w:val="en-US"/>
        </w:rPr>
        <w:t xml:space="preserve"> underrepresented in the</w:t>
      </w:r>
      <w:r w:rsidRPr="79DD7CC6" w:rsidR="00B36675">
        <w:rPr>
          <w:rFonts w:ascii="Garamond" w:hAnsi="Garamond" w:eastAsia="Garamond" w:cs="Garamond"/>
          <w:sz w:val="24"/>
          <w:szCs w:val="24"/>
          <w:lang w:val="en-US"/>
        </w:rPr>
        <w:t xml:space="preserve"> indexed scholarly literature on environmental justice, participatory research, and open science.</w:t>
      </w:r>
    </w:p>
    <w:p w:rsidR="00F55819" w:rsidP="79DD7CC6" w:rsidRDefault="00B36675" w14:paraId="00000005"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The purpose of this scan is not to</w:t>
      </w:r>
      <w:r w:rsidRPr="79DD7CC6" w:rsidR="00B36675">
        <w:rPr>
          <w:rFonts w:ascii="Garamond" w:hAnsi="Garamond" w:eastAsia="Garamond" w:cs="Garamond"/>
          <w:b w:val="0"/>
          <w:bCs w:val="0"/>
          <w:sz w:val="24"/>
          <w:szCs w:val="24"/>
          <w:lang w:val="en-US"/>
        </w:rPr>
        <w:t xml:space="preserve"> provide an exhaustive review of environmental justice </w:t>
      </w:r>
      <w:r w:rsidRPr="79DD7CC6" w:rsidR="00B36675">
        <w:rPr>
          <w:rFonts w:ascii="Garamond" w:hAnsi="Garamond" w:eastAsia="Garamond" w:cs="Garamond"/>
          <w:b w:val="0"/>
          <w:bCs w:val="0"/>
          <w:sz w:val="24"/>
          <w:szCs w:val="24"/>
          <w:lang w:val="en-US"/>
        </w:rPr>
        <w:t>scholarship</w:t>
      </w:r>
      <w:r w:rsidRPr="79DD7CC6" w:rsidR="00B36675">
        <w:rPr>
          <w:rFonts w:ascii="Garamond" w:hAnsi="Garamond" w:eastAsia="Garamond" w:cs="Garamond"/>
          <w:b w:val="0"/>
          <w:bCs w:val="0"/>
          <w:sz w:val="24"/>
          <w:szCs w:val="24"/>
          <w:lang w:val="en-US"/>
        </w:rPr>
        <w:t xml:space="preserve">. Instead, it </w:t>
      </w:r>
      <w:r w:rsidRPr="79DD7CC6" w:rsidR="00B36675">
        <w:rPr>
          <w:rFonts w:ascii="Garamond" w:hAnsi="Garamond" w:eastAsia="Garamond" w:cs="Garamond"/>
          <w:b w:val="0"/>
          <w:bCs w:val="0"/>
          <w:sz w:val="24"/>
          <w:szCs w:val="24"/>
          <w:lang w:val="en-US"/>
        </w:rPr>
        <w:t>seeks</w:t>
      </w:r>
      <w:r w:rsidRPr="79DD7CC6" w:rsidR="00B36675">
        <w:rPr>
          <w:rFonts w:ascii="Garamond" w:hAnsi="Garamond" w:eastAsia="Garamond" w:cs="Garamond"/>
          <w:b w:val="0"/>
          <w:bCs w:val="0"/>
          <w:sz w:val="24"/>
          <w:szCs w:val="24"/>
          <w:lang w:val="en-US"/>
        </w:rPr>
        <w:t xml:space="preserve"> to </w:t>
      </w:r>
      <w:r w:rsidRPr="79DD7CC6" w:rsidR="00B36675">
        <w:rPr>
          <w:rFonts w:ascii="Garamond" w:hAnsi="Garamond" w:eastAsia="Garamond" w:cs="Garamond"/>
          <w:b w:val="0"/>
          <w:bCs w:val="0"/>
          <w:sz w:val="24"/>
          <w:szCs w:val="24"/>
          <w:lang w:val="en-US"/>
        </w:rPr>
        <w:t>identify</w:t>
      </w:r>
      <w:r w:rsidRPr="79DD7CC6" w:rsidR="00B36675">
        <w:rPr>
          <w:rFonts w:ascii="Garamond" w:hAnsi="Garamond" w:eastAsia="Garamond" w:cs="Garamond"/>
          <w:b w:val="0"/>
          <w:bCs w:val="0"/>
          <w:sz w:val="24"/>
          <w:szCs w:val="24"/>
          <w:lang w:val="en-US"/>
        </w:rPr>
        <w:t xml:space="preserve"> </w:t>
      </w:r>
      <w:r w:rsidRPr="79DD7CC6" w:rsidR="00B36675">
        <w:rPr>
          <w:rFonts w:ascii="Garamond" w:hAnsi="Garamond" w:eastAsia="Garamond" w:cs="Garamond"/>
          <w:b w:val="0"/>
          <w:bCs w:val="0"/>
          <w:sz w:val="24"/>
          <w:szCs w:val="24"/>
          <w:lang w:val="en-US"/>
        </w:rPr>
        <w:t>how environmental research is produced, shared, and reused</w:t>
      </w:r>
      <w:r w:rsidRPr="79DD7CC6" w:rsidR="00B36675">
        <w:rPr>
          <w:rFonts w:ascii="Garamond" w:hAnsi="Garamond" w:eastAsia="Garamond" w:cs="Garamond"/>
          <w:b w:val="0"/>
          <w:bCs w:val="0"/>
          <w:sz w:val="24"/>
          <w:szCs w:val="24"/>
          <w:lang w:val="en-US"/>
        </w:rPr>
        <w:t xml:space="preserve"> in Gulf South contexts, and where </w:t>
      </w:r>
      <w:r w:rsidRPr="79DD7CC6" w:rsidR="00B36675">
        <w:rPr>
          <w:rFonts w:ascii="Garamond" w:hAnsi="Garamond" w:eastAsia="Garamond" w:cs="Garamond"/>
          <w:b w:val="0"/>
          <w:bCs w:val="0"/>
          <w:sz w:val="24"/>
          <w:szCs w:val="24"/>
          <w:lang w:val="en-US"/>
        </w:rPr>
        <w:t>capacity gaps</w:t>
      </w:r>
      <w:r w:rsidRPr="79DD7CC6" w:rsidR="00B36675">
        <w:rPr>
          <w:rFonts w:ascii="Garamond" w:hAnsi="Garamond" w:eastAsia="Garamond" w:cs="Garamond"/>
          <w:b w:val="0"/>
          <w:bCs w:val="0"/>
          <w:sz w:val="24"/>
          <w:szCs w:val="24"/>
          <w:lang w:val="en-US"/>
        </w:rPr>
        <w:t xml:space="preserve"> exist that limit transparency, accessibility, reproducibility, and community participation. Particular attention is given to the extent to which open science principles—open data, open tools, transparent methods, and reusable outputs—are reflected in community-engaged environmen</w:t>
      </w:r>
      <w:r w:rsidRPr="79DD7CC6" w:rsidR="00B36675">
        <w:rPr>
          <w:rFonts w:ascii="Garamond" w:hAnsi="Garamond" w:eastAsia="Garamond" w:cs="Garamond"/>
          <w:sz w:val="24"/>
          <w:szCs w:val="24"/>
          <w:lang w:val="en-US"/>
        </w:rPr>
        <w:t>tal research.</w:t>
      </w:r>
    </w:p>
    <w:p w:rsidR="00F55819" w:rsidP="79DD7CC6" w:rsidRDefault="00B36675" w14:paraId="00000006"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This scan draws on peer-reviewed literature, applied research reports, and documented community-academic collaborations published between 2000 and 2025, with emphasis on work since 2020. Sources were </w:t>
      </w:r>
      <w:r w:rsidRPr="79DD7CC6" w:rsidR="00B36675">
        <w:rPr>
          <w:rFonts w:ascii="Garamond" w:hAnsi="Garamond" w:eastAsia="Garamond" w:cs="Garamond"/>
          <w:sz w:val="24"/>
          <w:szCs w:val="24"/>
          <w:lang w:val="en-US"/>
        </w:rPr>
        <w:t>identified</w:t>
      </w:r>
      <w:r w:rsidRPr="79DD7CC6" w:rsidR="00B36675">
        <w:rPr>
          <w:rFonts w:ascii="Garamond" w:hAnsi="Garamond" w:eastAsia="Garamond" w:cs="Garamond"/>
          <w:sz w:val="24"/>
          <w:szCs w:val="24"/>
          <w:lang w:val="en-US"/>
        </w:rPr>
        <w:t xml:space="preserve"> through targeted searches of </w:t>
      </w:r>
      <w:r w:rsidRPr="79DD7CC6" w:rsidR="00B36675">
        <w:rPr>
          <w:rFonts w:ascii="Garamond" w:hAnsi="Garamond" w:eastAsia="Garamond" w:cs="Garamond"/>
          <w:sz w:val="24"/>
          <w:szCs w:val="24"/>
          <w:lang w:val="en-US"/>
        </w:rPr>
        <w:t>Web</w:t>
      </w:r>
      <w:r w:rsidRPr="79DD7CC6" w:rsidR="00B36675">
        <w:rPr>
          <w:rFonts w:ascii="Garamond" w:hAnsi="Garamond" w:eastAsia="Garamond" w:cs="Garamond"/>
          <w:sz w:val="24"/>
          <w:szCs w:val="24"/>
          <w:lang w:val="en-US"/>
        </w:rPr>
        <w:t xml:space="preserve"> of Science, Scopus, PubMed, ProQuest, and Google Scholar, supplemented by known environmental justice organizations and applied research programs </w:t>
      </w:r>
      <w:r w:rsidRPr="79DD7CC6" w:rsidR="00B36675">
        <w:rPr>
          <w:rFonts w:ascii="Garamond" w:hAnsi="Garamond" w:eastAsia="Garamond" w:cs="Garamond"/>
          <w:sz w:val="24"/>
          <w:szCs w:val="24"/>
          <w:lang w:val="en-US"/>
        </w:rPr>
        <w:t>operating</w:t>
      </w:r>
      <w:r w:rsidRPr="79DD7CC6" w:rsidR="00B36675">
        <w:rPr>
          <w:rFonts w:ascii="Garamond" w:hAnsi="Garamond" w:eastAsia="Garamond" w:cs="Garamond"/>
          <w:sz w:val="24"/>
          <w:szCs w:val="24"/>
          <w:lang w:val="en-US"/>
        </w:rPr>
        <w:t xml:space="preserve"> in the region. The review prioritizes studies that address flooding, extreme heat, air quality, water quality, a</w:t>
      </w:r>
      <w:r w:rsidRPr="79DD7CC6" w:rsidR="00B36675">
        <w:rPr>
          <w:rFonts w:ascii="Garamond" w:hAnsi="Garamond" w:eastAsia="Garamond" w:cs="Garamond"/>
          <w:sz w:val="24"/>
          <w:szCs w:val="24"/>
          <w:lang w:val="en-US"/>
        </w:rPr>
        <w:t>nd environment-related health outcomes, as these hazards recur across Gulf South communities and align with dominant environmental justice concerns.</w:t>
      </w:r>
    </w:p>
    <w:p w:rsidR="00F55819" w:rsidP="79DD7CC6" w:rsidRDefault="00B36675" w14:paraId="00000007" w14:textId="77777777">
      <w:pPr>
        <w:pStyle w:val="Heading3"/>
        <w:keepNext w:val="0"/>
        <w:keepLines w:val="0"/>
        <w:spacing w:before="280"/>
        <w:rPr>
          <w:rFonts w:ascii="Garamond" w:hAnsi="Garamond" w:eastAsia="Garamond" w:cs="Garamond"/>
          <w:b w:val="1"/>
          <w:bCs w:val="1"/>
          <w:color w:val="000000"/>
          <w:sz w:val="24"/>
          <w:szCs w:val="24"/>
        </w:rPr>
      </w:pPr>
      <w:bookmarkStart w:name="_x1n1uy3178ib" w:id="1"/>
      <w:bookmarkEnd w:id="1"/>
      <w:r w:rsidRPr="79DD7CC6" w:rsidR="00B36675">
        <w:rPr>
          <w:rFonts w:ascii="Garamond" w:hAnsi="Garamond" w:eastAsia="Garamond" w:cs="Garamond"/>
          <w:b w:val="1"/>
          <w:bCs w:val="1"/>
          <w:color w:val="000000" w:themeColor="text1" w:themeTint="FF" w:themeShade="FF"/>
          <w:sz w:val="24"/>
          <w:szCs w:val="24"/>
        </w:rPr>
        <w:t>Analytical Framing</w:t>
      </w:r>
    </w:p>
    <w:p w:rsidR="00F55819" w:rsidP="79DD7CC6" w:rsidRDefault="00B36675" w14:paraId="00000008"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The literature is assessed through an open science lens, asking four core questions:</w:t>
      </w:r>
    </w:p>
    <w:p w:rsidR="00F55819" w:rsidP="79DD7CC6" w:rsidRDefault="00B36675" w14:paraId="00000009" w14:textId="77777777">
      <w:pPr>
        <w:numPr>
          <w:ilvl w:val="0"/>
          <w:numId w:val="2"/>
        </w:numPr>
        <w:spacing w:before="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Who produces environmental knowledge in the Gulf South, and under what conditions?</w:t>
      </w:r>
    </w:p>
    <w:p w:rsidR="00F55819" w:rsidP="79DD7CC6" w:rsidRDefault="00B36675" w14:paraId="0000000A" w14:textId="77777777">
      <w:pPr>
        <w:numPr>
          <w:ilvl w:val="0"/>
          <w:numId w:val="2"/>
        </w:numPr>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What data, tools, and methods are used, and how accessible are they to non-academic actors?</w:t>
      </w:r>
    </w:p>
    <w:p w:rsidR="00F55819" w:rsidP="79DD7CC6" w:rsidRDefault="00B36675" w14:paraId="0000000B" w14:textId="77777777">
      <w:pPr>
        <w:numPr>
          <w:ilvl w:val="0"/>
          <w:numId w:val="2"/>
        </w:numPr>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How transparent and reproducible are the analytical workflows and outputs?</w:t>
      </w:r>
    </w:p>
    <w:p w:rsidR="00F55819" w:rsidP="79DD7CC6" w:rsidRDefault="00B36675" w14:paraId="0000000C" w14:textId="77777777">
      <w:pPr>
        <w:numPr>
          <w:ilvl w:val="0"/>
          <w:numId w:val="2"/>
        </w:numPr>
        <w:spacing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To what extent are research products designed for reuse in community decision-making, advocacy, or planning?</w:t>
      </w:r>
    </w:p>
    <w:p w:rsidR="00F55819" w:rsidP="79DD7CC6" w:rsidRDefault="00B36675" w14:paraId="0000000D"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This framing makes it possible to distinguish between strong community engagement in principle and </w:t>
      </w:r>
      <w:r w:rsidRPr="79DD7CC6" w:rsidR="00B36675">
        <w:rPr>
          <w:rFonts w:ascii="Garamond" w:hAnsi="Garamond" w:eastAsia="Garamond" w:cs="Garamond"/>
          <w:b w:val="1"/>
          <w:bCs w:val="1"/>
          <w:sz w:val="24"/>
          <w:szCs w:val="24"/>
        </w:rPr>
        <w:t>operational open science capacity in practice</w:t>
      </w:r>
      <w:r w:rsidRPr="79DD7CC6" w:rsidR="00B36675">
        <w:rPr>
          <w:rFonts w:ascii="Garamond" w:hAnsi="Garamond" w:eastAsia="Garamond" w:cs="Garamond"/>
          <w:sz w:val="24"/>
          <w:szCs w:val="24"/>
        </w:rPr>
        <w:t>. While many studies emphasize participation, co-production, or citizen science, far fewer document how data and methods are shared, governed, and sustained beyond individual projects.</w:t>
      </w:r>
    </w:p>
    <w:p w:rsidR="00F55819" w:rsidP="79DD7CC6" w:rsidRDefault="00B36675" w14:paraId="0000000E" w14:textId="77777777">
      <w:pPr>
        <w:pStyle w:val="Heading3"/>
        <w:keepNext w:val="0"/>
        <w:keepLines w:val="0"/>
        <w:spacing w:before="280"/>
        <w:rPr>
          <w:rFonts w:ascii="Garamond" w:hAnsi="Garamond" w:eastAsia="Garamond" w:cs="Garamond"/>
          <w:b w:val="1"/>
          <w:bCs w:val="1"/>
          <w:color w:val="000000"/>
          <w:sz w:val="24"/>
          <w:szCs w:val="24"/>
        </w:rPr>
      </w:pPr>
      <w:bookmarkStart w:name="_odgxgf16dqi7" w:id="2"/>
      <w:bookmarkEnd w:id="2"/>
      <w:r w:rsidRPr="79DD7CC6" w:rsidR="00B36675">
        <w:rPr>
          <w:rFonts w:ascii="Garamond" w:hAnsi="Garamond" w:eastAsia="Garamond" w:cs="Garamond"/>
          <w:b w:val="1"/>
          <w:bCs w:val="1"/>
          <w:color w:val="000000" w:themeColor="text1" w:themeTint="FF" w:themeShade="FF"/>
          <w:sz w:val="24"/>
          <w:szCs w:val="24"/>
        </w:rPr>
        <w:t>Key Observation</w:t>
      </w:r>
    </w:p>
    <w:p w:rsidR="00F55819" w:rsidP="79DD7CC6" w:rsidRDefault="00B36675" w14:paraId="0000000F"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Acro</w:t>
      </w:r>
      <w:r w:rsidRPr="79DD7CC6" w:rsidR="00B36675">
        <w:rPr>
          <w:rFonts w:ascii="Garamond" w:hAnsi="Garamond" w:eastAsia="Garamond" w:cs="Garamond"/>
          <w:b w:val="0"/>
          <w:bCs w:val="0"/>
          <w:sz w:val="24"/>
          <w:szCs w:val="24"/>
        </w:rPr>
        <w:t xml:space="preserve">ss the literature, community-engaged environmental research in the Gulf South is </w:t>
      </w:r>
      <w:r w:rsidRPr="79DD7CC6" w:rsidR="00B36675">
        <w:rPr>
          <w:rFonts w:ascii="Garamond" w:hAnsi="Garamond" w:eastAsia="Garamond" w:cs="Garamond"/>
          <w:b w:val="0"/>
          <w:bCs w:val="0"/>
          <w:sz w:val="24"/>
          <w:szCs w:val="24"/>
        </w:rPr>
        <w:t>methodologically diverse, appreciated in many communities, and culturally relevant but operationally fragile</w:t>
      </w:r>
      <w:r w:rsidRPr="79DD7CC6" w:rsidR="00B36675">
        <w:rPr>
          <w:rFonts w:ascii="Garamond" w:hAnsi="Garamond" w:eastAsia="Garamond" w:cs="Garamond"/>
          <w:b w:val="0"/>
          <w:bCs w:val="0"/>
          <w:sz w:val="24"/>
          <w:szCs w:val="24"/>
        </w:rPr>
        <w:t>. Participatory approaches are common, yet open science practices are inconsistently applied, weakly documented, or absent altogether. Data and analyses are often produced for specific studies or campaigns, then become inaccessible, non-reproducible, or disconnec</w:t>
      </w:r>
      <w:r w:rsidRPr="79DD7CC6" w:rsidR="00B36675">
        <w:rPr>
          <w:rFonts w:ascii="Garamond" w:hAnsi="Garamond" w:eastAsia="Garamond" w:cs="Garamond"/>
          <w:sz w:val="24"/>
          <w:szCs w:val="24"/>
        </w:rPr>
        <w:t>ted from future work. This gap between engagement and operational openness constrains learning, limits reuse, and places recurring burdens on</w:t>
      </w:r>
      <w:r w:rsidRPr="79DD7CC6" w:rsidR="00B36675">
        <w:rPr>
          <w:rFonts w:ascii="Garamond" w:hAnsi="Garamond" w:eastAsia="Garamond" w:cs="Garamond"/>
          <w:sz w:val="24"/>
          <w:szCs w:val="24"/>
        </w:rPr>
        <w:t xml:space="preserve"> already resource-constrained organizations.</w:t>
      </w:r>
    </w:p>
    <w:p w:rsidR="00F55819" w:rsidP="79DD7CC6" w:rsidRDefault="00B36675" w14:paraId="00000010"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The sections that follow synthesize the literature around five interrelated domains—environmental justice knowledge production, access to tools and data, open data and trust, reproducibility of methods, and translation from evidence to action—each corresponding to core dimensions of open science capacity.</w:t>
      </w:r>
    </w:p>
    <w:p w:rsidR="00F55819" w:rsidP="79DD7CC6" w:rsidRDefault="00B36675" w14:paraId="00000011"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Methods</w:t>
      </w:r>
    </w:p>
    <w:p w:rsidR="00F55819" w:rsidP="79DD7CC6" w:rsidRDefault="00B36675" w14:paraId="00000012"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This literature scan was conducted to </w:t>
      </w:r>
      <w:r w:rsidRPr="79DD7CC6" w:rsidR="00B36675">
        <w:rPr>
          <w:rFonts w:ascii="Garamond" w:hAnsi="Garamond" w:eastAsia="Garamond" w:cs="Garamond"/>
          <w:sz w:val="24"/>
          <w:szCs w:val="24"/>
          <w:lang w:val="en-US"/>
        </w:rPr>
        <w:t>identify</w:t>
      </w:r>
      <w:r w:rsidRPr="79DD7CC6" w:rsidR="00B36675">
        <w:rPr>
          <w:rFonts w:ascii="Garamond" w:hAnsi="Garamond" w:eastAsia="Garamond" w:cs="Garamond"/>
          <w:sz w:val="24"/>
          <w:szCs w:val="24"/>
          <w:lang w:val="en-US"/>
        </w:rPr>
        <w:t xml:space="preserve"> significant issues and capacity gaps in open science and community-engaged environmental research in the U.S. Gulf South. The review focused on environmental justice–relevant research addressing flooding, extreme weather, heat, air quality, water quality, and environment-related health outcomes, with geographic emphasis on Louisiana and neighboring Gulf Coast states.</w:t>
      </w:r>
    </w:p>
    <w:p w:rsidR="00F55819" w:rsidP="79DD7CC6" w:rsidRDefault="00B36675" w14:paraId="00000013"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b w:val="1"/>
          <w:bCs w:val="1"/>
          <w:sz w:val="24"/>
          <w:szCs w:val="24"/>
          <w:lang w:val="en-US"/>
        </w:rPr>
        <w:t>Search strategy and sources</w:t>
      </w:r>
      <w:r>
        <w:br/>
      </w:r>
      <w:r w:rsidRPr="79DD7CC6" w:rsidR="00B36675">
        <w:rPr>
          <w:rFonts w:ascii="Garamond" w:hAnsi="Garamond" w:eastAsia="Garamond" w:cs="Garamond"/>
          <w:sz w:val="24"/>
          <w:szCs w:val="24"/>
          <w:lang w:val="en-US"/>
        </w:rPr>
        <w:t xml:space="preserve">Targeted searches were conducted between January and March 2025 using </w:t>
      </w:r>
      <w:r w:rsidRPr="79DD7CC6" w:rsidR="00B36675">
        <w:rPr>
          <w:rFonts w:ascii="Garamond" w:hAnsi="Garamond" w:eastAsia="Garamond" w:cs="Garamond"/>
          <w:sz w:val="24"/>
          <w:szCs w:val="24"/>
          <w:lang w:val="en-US"/>
        </w:rPr>
        <w:t>Web</w:t>
      </w:r>
      <w:r w:rsidRPr="79DD7CC6" w:rsidR="00B36675">
        <w:rPr>
          <w:rFonts w:ascii="Garamond" w:hAnsi="Garamond" w:eastAsia="Garamond" w:cs="Garamond"/>
          <w:sz w:val="24"/>
          <w:szCs w:val="24"/>
          <w:lang w:val="en-US"/>
        </w:rPr>
        <w:t xml:space="preserve"> of Science, Scopus, PubMed, ProQuest, and Google Scholar. Searches combined geographic terms (e.g., “Gulf South,” “Louisiana,” “Mississippi River corridor,” “Gulf Coast”) with thematic terms including “environmental justice,” “community-engaged research,” “participatory mapping,” “citizen science,” “open data,” “open science,” and hazard-specific keywords. Priority was given to peer-reviewed literature published between 2000 and 2025</w:t>
      </w:r>
      <w:r w:rsidRPr="79DD7CC6" w:rsidR="00B36675">
        <w:rPr>
          <w:rFonts w:ascii="Garamond" w:hAnsi="Garamond" w:eastAsia="Garamond" w:cs="Garamond"/>
          <w:sz w:val="24"/>
          <w:szCs w:val="24"/>
          <w:lang w:val="en-US"/>
        </w:rPr>
        <w:t>, with particular attention to work published since 2020 to capture recent developments in open science practice.</w:t>
      </w:r>
    </w:p>
    <w:p w:rsidR="00F55819" w:rsidP="79DD7CC6" w:rsidRDefault="00B36675" w14:paraId="00000014"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In addition to academic databases, selected applied research reports, program evaluations, and documented community–academic collaborations were reviewed where they provided insight into data practices, governance, and reuse that are often underrepresented in journal publications.</w:t>
      </w:r>
    </w:p>
    <w:p w:rsidR="00F55819" w:rsidP="79DD7CC6" w:rsidRDefault="00B36675" w14:paraId="00000015" w14:textId="77777777">
      <w:pPr>
        <w:spacing w:before="240" w:after="240"/>
        <w:rPr>
          <w:rFonts w:ascii="Garamond" w:hAnsi="Garamond" w:eastAsia="Garamond" w:cs="Garamond"/>
          <w:color w:val="1155CC"/>
          <w:sz w:val="24"/>
          <w:szCs w:val="24"/>
          <w:u w:val="single"/>
        </w:rPr>
      </w:pPr>
      <w:r w:rsidRPr="79DD7CC6" w:rsidR="00B36675">
        <w:rPr>
          <w:rFonts w:ascii="Garamond" w:hAnsi="Garamond" w:eastAsia="Garamond" w:cs="Garamond"/>
          <w:sz w:val="24"/>
          <w:szCs w:val="24"/>
        </w:rPr>
        <w:t>Key sources included:</w:t>
      </w:r>
      <w:r>
        <w:br/>
      </w:r>
      <w:hyperlink r:id="R8e3780eccf3d4636">
        <w:r w:rsidRPr="79DD7CC6" w:rsidR="00B36675">
          <w:rPr>
            <w:rFonts w:ascii="Garamond" w:hAnsi="Garamond" w:eastAsia="Garamond" w:cs="Garamond"/>
            <w:color w:val="1155CC"/>
            <w:sz w:val="24"/>
            <w:szCs w:val="24"/>
            <w:u w:val="single"/>
          </w:rPr>
          <w:t>https://www.webofscience.com</w:t>
        </w:r>
        <w:r>
          <w:br/>
        </w:r>
      </w:hyperlink>
      <w:hyperlink r:id="R6190ab7534e44a11">
        <w:r w:rsidRPr="79DD7CC6" w:rsidR="00B36675">
          <w:rPr>
            <w:rFonts w:ascii="Garamond" w:hAnsi="Garamond" w:eastAsia="Garamond" w:cs="Garamond"/>
            <w:color w:val="1155CC"/>
            <w:sz w:val="24"/>
            <w:szCs w:val="24"/>
            <w:u w:val="single"/>
          </w:rPr>
          <w:t>https://www.scopus.com</w:t>
        </w:r>
        <w:r>
          <w:br/>
        </w:r>
      </w:hyperlink>
      <w:hyperlink r:id="Rb8d87ae6827a4867">
        <w:r w:rsidRPr="79DD7CC6" w:rsidR="00B36675">
          <w:rPr>
            <w:rFonts w:ascii="Garamond" w:hAnsi="Garamond" w:eastAsia="Garamond" w:cs="Garamond"/>
            <w:color w:val="1155CC"/>
            <w:sz w:val="24"/>
            <w:szCs w:val="24"/>
            <w:u w:val="single"/>
          </w:rPr>
          <w:t>https://pubmed.ncbi.nlm.nih.gov</w:t>
        </w:r>
        <w:r>
          <w:br/>
        </w:r>
      </w:hyperlink>
      <w:hyperlink r:id="Rfa2501ae8bcb4bc4">
        <w:r w:rsidRPr="79DD7CC6" w:rsidR="00B36675">
          <w:rPr>
            <w:rFonts w:ascii="Garamond" w:hAnsi="Garamond" w:eastAsia="Garamond" w:cs="Garamond"/>
            <w:color w:val="1155CC"/>
            <w:sz w:val="24"/>
            <w:szCs w:val="24"/>
            <w:u w:val="single"/>
          </w:rPr>
          <w:t>https://www.proquest.com</w:t>
        </w:r>
        <w:r>
          <w:br/>
        </w:r>
      </w:hyperlink>
      <w:hyperlink r:id="R4b89877408b74df2">
        <w:r w:rsidRPr="79DD7CC6" w:rsidR="00B36675">
          <w:rPr>
            <w:rFonts w:ascii="Garamond" w:hAnsi="Garamond" w:eastAsia="Garamond" w:cs="Garamond"/>
            <w:color w:val="1155CC"/>
            <w:sz w:val="24"/>
            <w:szCs w:val="24"/>
            <w:u w:val="single"/>
          </w:rPr>
          <w:t>https://scholar.google.com</w:t>
        </w:r>
      </w:hyperlink>
    </w:p>
    <w:p w:rsidR="00F55819" w:rsidP="79DD7CC6" w:rsidRDefault="00B36675" w14:paraId="00000016" w14:textId="77777777">
      <w:pPr>
        <w:spacing w:before="240" w:after="240"/>
        <w:rPr>
          <w:rFonts w:ascii="Garamond" w:hAnsi="Garamond" w:eastAsia="Garamond" w:cs="Garamond"/>
          <w:sz w:val="24"/>
          <w:szCs w:val="24"/>
        </w:rPr>
      </w:pPr>
      <w:r w:rsidRPr="79DD7CC6" w:rsidR="00B36675">
        <w:rPr>
          <w:rFonts w:ascii="Garamond" w:hAnsi="Garamond" w:eastAsia="Garamond" w:cs="Garamond"/>
          <w:b w:val="1"/>
          <w:bCs w:val="1"/>
          <w:sz w:val="24"/>
          <w:szCs w:val="24"/>
        </w:rPr>
        <w:t>Screening and inclusion criteria</w:t>
      </w:r>
      <w:r>
        <w:br/>
      </w:r>
      <w:r w:rsidRPr="79DD7CC6" w:rsidR="00B36675">
        <w:rPr>
          <w:rFonts w:ascii="Garamond" w:hAnsi="Garamond" w:eastAsia="Garamond" w:cs="Garamond"/>
          <w:sz w:val="24"/>
          <w:szCs w:val="24"/>
        </w:rPr>
        <w:t>Publications were included if they met at least one of the following criteria:</w:t>
      </w:r>
    </w:p>
    <w:p w:rsidR="00F55819" w:rsidP="79DD7CC6" w:rsidRDefault="00B36675" w14:paraId="00000017" w14:textId="77777777">
      <w:pPr>
        <w:numPr>
          <w:ilvl w:val="0"/>
          <w:numId w:val="1"/>
        </w:numPr>
        <w:spacing w:before="240"/>
        <w:rPr>
          <w:rFonts w:ascii="Garamond" w:hAnsi="Garamond" w:eastAsia="Garamond" w:cs="Garamond"/>
          <w:sz w:val="24"/>
          <w:szCs w:val="24"/>
        </w:rPr>
      </w:pPr>
      <w:r w:rsidRPr="79DD7CC6" w:rsidR="00B36675">
        <w:rPr>
          <w:rFonts w:ascii="Garamond" w:hAnsi="Garamond" w:eastAsia="Garamond" w:cs="Garamond"/>
          <w:sz w:val="24"/>
          <w:szCs w:val="24"/>
        </w:rPr>
        <w:t>Explicit focus on environmental justice or inequitable environmental burdens</w:t>
      </w:r>
    </w:p>
    <w:p w:rsidR="00F55819" w:rsidP="79DD7CC6" w:rsidRDefault="00B36675" w14:paraId="00000018" w14:textId="77777777">
      <w:pPr>
        <w:numPr>
          <w:ilvl w:val="0"/>
          <w:numId w:val="1"/>
        </w:numPr>
        <w:rPr>
          <w:rFonts w:ascii="Garamond" w:hAnsi="Garamond" w:eastAsia="Garamond" w:cs="Garamond"/>
          <w:sz w:val="24"/>
          <w:szCs w:val="24"/>
        </w:rPr>
      </w:pPr>
      <w:r w:rsidRPr="79DD7CC6" w:rsidR="00B36675">
        <w:rPr>
          <w:rFonts w:ascii="Garamond" w:hAnsi="Garamond" w:eastAsia="Garamond" w:cs="Garamond"/>
          <w:sz w:val="24"/>
          <w:szCs w:val="24"/>
        </w:rPr>
        <w:t>Use of community-engaged, participatory, or citizen science approaches</w:t>
      </w:r>
    </w:p>
    <w:p w:rsidR="00F55819" w:rsidP="79DD7CC6" w:rsidRDefault="00B36675" w14:paraId="00000019" w14:textId="77777777">
      <w:pPr>
        <w:numPr>
          <w:ilvl w:val="0"/>
          <w:numId w:val="1"/>
        </w:numPr>
        <w:rPr>
          <w:rFonts w:ascii="Garamond" w:hAnsi="Garamond" w:eastAsia="Garamond" w:cs="Garamond"/>
          <w:sz w:val="24"/>
          <w:szCs w:val="24"/>
        </w:rPr>
      </w:pPr>
      <w:r w:rsidRPr="79DD7CC6" w:rsidR="00B36675">
        <w:rPr>
          <w:rFonts w:ascii="Garamond" w:hAnsi="Garamond" w:eastAsia="Garamond" w:cs="Garamond"/>
          <w:sz w:val="24"/>
          <w:szCs w:val="24"/>
        </w:rPr>
        <w:t>Application of geospatial, Earth observation, or environmental monitoring data</w:t>
      </w:r>
    </w:p>
    <w:p w:rsidR="00F55819" w:rsidP="79DD7CC6" w:rsidRDefault="00B36675" w14:paraId="0000001A" w14:textId="77777777">
      <w:pPr>
        <w:numPr>
          <w:ilvl w:val="0"/>
          <w:numId w:val="1"/>
        </w:numPr>
        <w:spacing w:after="240"/>
        <w:rPr>
          <w:rFonts w:ascii="Garamond" w:hAnsi="Garamond" w:eastAsia="Garamond" w:cs="Garamond"/>
          <w:sz w:val="24"/>
          <w:szCs w:val="24"/>
        </w:rPr>
      </w:pPr>
      <w:r w:rsidRPr="79DD7CC6" w:rsidR="00B36675">
        <w:rPr>
          <w:rFonts w:ascii="Garamond" w:hAnsi="Garamond" w:eastAsia="Garamond" w:cs="Garamond"/>
          <w:sz w:val="24"/>
          <w:szCs w:val="24"/>
        </w:rPr>
        <w:t>Discussion of data sharing, transparency, reproducibility, or reuse</w:t>
      </w:r>
    </w:p>
    <w:p w:rsidR="00F55819" w:rsidP="79DD7CC6" w:rsidRDefault="00B36675" w14:paraId="0000001B"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Purely theoretical work without empirical or applied components was excluded unless it directly informed frameworks used in Gulf South research or practice.</w:t>
      </w:r>
    </w:p>
    <w:p w:rsidR="00F55819" w:rsidP="79DD7CC6" w:rsidRDefault="00B36675" w14:paraId="0000001C" w14:textId="77777777">
      <w:pPr>
        <w:spacing w:before="240" w:after="240"/>
        <w:rPr>
          <w:rFonts w:ascii="Garamond" w:hAnsi="Garamond" w:eastAsia="Garamond" w:cs="Garamond"/>
          <w:sz w:val="24"/>
          <w:szCs w:val="24"/>
        </w:rPr>
      </w:pPr>
      <w:r w:rsidRPr="79DD7CC6" w:rsidR="00B36675">
        <w:rPr>
          <w:rFonts w:ascii="Garamond" w:hAnsi="Garamond" w:eastAsia="Garamond" w:cs="Garamond"/>
          <w:b w:val="1"/>
          <w:bCs w:val="1"/>
          <w:sz w:val="24"/>
          <w:szCs w:val="24"/>
        </w:rPr>
        <w:t>Analytical approach</w:t>
      </w:r>
      <w:r>
        <w:br/>
      </w:r>
      <w:r w:rsidRPr="79DD7CC6" w:rsidR="00B36675">
        <w:rPr>
          <w:rFonts w:ascii="Garamond" w:hAnsi="Garamond" w:eastAsia="Garamond" w:cs="Garamond"/>
          <w:sz w:val="24"/>
          <w:szCs w:val="24"/>
        </w:rPr>
        <w:t>The literature was reviewed using a structured qualitative synthesis approach. Each source was examined for evidence related to knowledge production, access to data and tools, documentation and transparency of methods, treatment of data governance and ethics, and the design of outputs for reuse in community decision-making or policy contexts.</w:t>
      </w:r>
    </w:p>
    <w:p w:rsidR="00F55819" w:rsidP="79DD7CC6" w:rsidRDefault="00B36675" w14:paraId="0000001D"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The synthesis was organized to align with the conceptual structure of the NASA Transform to Open Science (TOPS) learning framework, allowing gaps in operational open science capacity to be assessed systematically across domains.</w:t>
      </w:r>
    </w:p>
    <w:p w:rsidR="00F55819" w:rsidP="79DD7CC6" w:rsidRDefault="00B36675" w14:paraId="0000001E"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b w:val="1"/>
          <w:bCs w:val="1"/>
          <w:sz w:val="24"/>
          <w:szCs w:val="24"/>
          <w:lang w:val="en-US"/>
        </w:rPr>
        <w:t>Use of generative AI tools</w:t>
      </w:r>
      <w:r>
        <w:br/>
      </w:r>
      <w:r w:rsidRPr="79DD7CC6" w:rsidR="00B36675">
        <w:rPr>
          <w:rFonts w:ascii="Garamond" w:hAnsi="Garamond" w:eastAsia="Garamond" w:cs="Garamond"/>
          <w:sz w:val="24"/>
          <w:szCs w:val="24"/>
          <w:lang w:val="en-US"/>
        </w:rPr>
        <w:t xml:space="preserve">Generative AI tools, including ChatGPT, were used in a limited and transparent manner to support this review. Specifically, ChatGPT was used to refine the organization and clarity of </w:t>
      </w:r>
      <w:r w:rsidRPr="79DD7CC6" w:rsidR="00B36675">
        <w:rPr>
          <w:rFonts w:ascii="Garamond" w:hAnsi="Garamond" w:eastAsia="Garamond" w:cs="Garamond"/>
          <w:sz w:val="24"/>
          <w:szCs w:val="24"/>
          <w:lang w:val="en-US"/>
        </w:rPr>
        <w:t>an initial</w:t>
      </w:r>
      <w:r w:rsidRPr="79DD7CC6" w:rsidR="00B36675">
        <w:rPr>
          <w:rFonts w:ascii="Garamond" w:hAnsi="Garamond" w:eastAsia="Garamond" w:cs="Garamond"/>
          <w:sz w:val="24"/>
          <w:szCs w:val="24"/>
          <w:lang w:val="en-US"/>
        </w:rPr>
        <w:t xml:space="preserve"> draft prepared by the authors, and to suggest ways to align the structure of the literature scan with the aims and scope of the AGEJLE-OS project. All substantive analytical judgments, interpretations, and conclusions were developed and verified by the authors. No sources were added without independent review, and a</w:t>
      </w:r>
      <w:r w:rsidRPr="79DD7CC6" w:rsidR="00B36675">
        <w:rPr>
          <w:rFonts w:ascii="Garamond" w:hAnsi="Garamond" w:eastAsia="Garamond" w:cs="Garamond"/>
          <w:sz w:val="24"/>
          <w:szCs w:val="24"/>
          <w:lang w:val="en-US"/>
        </w:rPr>
        <w:t xml:space="preserve">ll content was edited to ensure accuracy, coherence, and consistency with the project’s </w:t>
      </w:r>
      <w:r w:rsidRPr="79DD7CC6" w:rsidR="00B36675">
        <w:rPr>
          <w:rFonts w:ascii="Garamond" w:hAnsi="Garamond" w:eastAsia="Garamond" w:cs="Garamond"/>
          <w:sz w:val="24"/>
          <w:szCs w:val="24"/>
          <w:lang w:val="en-US"/>
        </w:rPr>
        <w:t>objectives</w:t>
      </w:r>
      <w:r w:rsidRPr="79DD7CC6" w:rsidR="00B36675">
        <w:rPr>
          <w:rFonts w:ascii="Garamond" w:hAnsi="Garamond" w:eastAsia="Garamond" w:cs="Garamond"/>
          <w:sz w:val="24"/>
          <w:szCs w:val="24"/>
          <w:lang w:val="en-US"/>
        </w:rPr>
        <w:t>.</w:t>
      </w:r>
    </w:p>
    <w:p w:rsidR="00F55819" w:rsidP="79DD7CC6" w:rsidRDefault="00B36675" w14:paraId="0000001F" w14:textId="77777777">
      <w:pPr>
        <w:spacing w:before="240" w:after="240"/>
        <w:rPr>
          <w:rFonts w:ascii="Garamond" w:hAnsi="Garamond" w:eastAsia="Garamond" w:cs="Garamond"/>
          <w:sz w:val="24"/>
          <w:szCs w:val="24"/>
        </w:rPr>
      </w:pPr>
      <w:r w:rsidRPr="79DD7CC6" w:rsidR="00B36675">
        <w:rPr>
          <w:rFonts w:ascii="Garamond" w:hAnsi="Garamond" w:eastAsia="Garamond" w:cs="Garamond"/>
          <w:b w:val="1"/>
          <w:bCs w:val="1"/>
          <w:sz w:val="24"/>
          <w:szCs w:val="24"/>
        </w:rPr>
        <w:t>1. Environmental Justice and Knowledge Production in the Gulf South</w:t>
      </w:r>
      <w:r w:rsidRPr="79DD7CC6" w:rsidR="00B36675">
        <w:rPr>
          <w:rFonts w:ascii="Garamond" w:hAnsi="Garamond" w:eastAsia="Garamond" w:cs="Garamond"/>
          <w:sz w:val="24"/>
          <w:szCs w:val="24"/>
        </w:rPr>
        <w:t>.</w:t>
      </w:r>
    </w:p>
    <w:p w:rsidR="00F55819" w:rsidP="79DD7CC6" w:rsidRDefault="00B36675" w14:paraId="00000020" w14:textId="77777777">
      <w:pPr>
        <w:spacing w:before="240" w:after="240"/>
        <w:rPr>
          <w:rFonts w:ascii="Garamond" w:hAnsi="Garamond" w:eastAsia="Garamond" w:cs="Garamond"/>
          <w:b w:val="0"/>
          <w:bCs w:val="0"/>
          <w:sz w:val="24"/>
          <w:szCs w:val="24"/>
        </w:rPr>
      </w:pPr>
      <w:r w:rsidRPr="79DD7CC6" w:rsidR="00B36675">
        <w:rPr>
          <w:rFonts w:ascii="Garamond" w:hAnsi="Garamond" w:eastAsia="Garamond" w:cs="Garamond"/>
          <w:sz w:val="24"/>
          <w:szCs w:val="24"/>
        </w:rPr>
        <w:t>Environmental justice research in the Gulf South has long emphasized the disproportionate environmental burdens borne by low-income communities and communities of color. Studies documenting industrial pollution exposure, cumulative health risks, and disaster impacts are particularly concentrated in Louisiana, especially along the Mississippi River Industrial Corridor and in coastal parishes vulnerab</w:t>
      </w:r>
      <w:r w:rsidRPr="79DD7CC6" w:rsidR="00B36675">
        <w:rPr>
          <w:rFonts w:ascii="Garamond" w:hAnsi="Garamond" w:eastAsia="Garamond" w:cs="Garamond"/>
          <w:b w:val="0"/>
          <w:bCs w:val="0"/>
          <w:sz w:val="24"/>
          <w:szCs w:val="24"/>
        </w:rPr>
        <w:t>le to flooding and land loss. Much of this literature highlights structural inequities embedded in land use pl</w:t>
      </w:r>
      <w:r w:rsidRPr="79DD7CC6" w:rsidR="00B36675">
        <w:rPr>
          <w:rFonts w:ascii="Garamond" w:hAnsi="Garamond" w:eastAsia="Garamond" w:cs="Garamond"/>
          <w:b w:val="0"/>
          <w:bCs w:val="0"/>
          <w:sz w:val="24"/>
          <w:szCs w:val="24"/>
        </w:rPr>
        <w:t>anning, regulatory enforcement, and disaster recovery processes.</w:t>
      </w:r>
    </w:p>
    <w:p w:rsidR="00F55819" w:rsidP="79DD7CC6" w:rsidRDefault="00B36675" w14:paraId="00000021" w14:textId="77777777">
      <w:pPr>
        <w:spacing w:before="240" w:after="240"/>
        <w:rPr>
          <w:rFonts w:ascii="Garamond" w:hAnsi="Garamond" w:eastAsia="Garamond" w:cs="Garamond"/>
          <w:b w:val="0"/>
          <w:bCs w:val="0"/>
          <w:sz w:val="24"/>
          <w:szCs w:val="24"/>
          <w:lang w:val="en-US"/>
        </w:rPr>
      </w:pPr>
      <w:r w:rsidRPr="79DD7CC6" w:rsidR="00B36675">
        <w:rPr>
          <w:rFonts w:ascii="Garamond" w:hAnsi="Garamond" w:eastAsia="Garamond" w:cs="Garamond"/>
          <w:b w:val="0"/>
          <w:bCs w:val="0"/>
          <w:sz w:val="24"/>
          <w:szCs w:val="24"/>
          <w:lang w:val="en-US"/>
        </w:rPr>
        <w:t xml:space="preserve">A defining feature of Gulf South environmental justice research is the prominence of </w:t>
      </w:r>
      <w:r w:rsidRPr="79DD7CC6" w:rsidR="00B36675">
        <w:rPr>
          <w:rFonts w:ascii="Garamond" w:hAnsi="Garamond" w:eastAsia="Garamond" w:cs="Garamond"/>
          <w:b w:val="0"/>
          <w:bCs w:val="0"/>
          <w:sz w:val="24"/>
          <w:szCs w:val="24"/>
          <w:lang w:val="en-US"/>
        </w:rPr>
        <w:t>community-engaged and participatory approaches</w:t>
      </w:r>
      <w:r w:rsidRPr="79DD7CC6" w:rsidR="00B36675">
        <w:rPr>
          <w:rFonts w:ascii="Garamond" w:hAnsi="Garamond" w:eastAsia="Garamond" w:cs="Garamond"/>
          <w:b w:val="0"/>
          <w:bCs w:val="0"/>
          <w:sz w:val="24"/>
          <w:szCs w:val="24"/>
          <w:lang w:val="en-US"/>
        </w:rPr>
        <w:t xml:space="preserve">. Many studies rely on partnerships with local organizations to collect data, document lived experience, and challenge official narratives about environmental risk. Citizen science, participatory mapping, and community-based monitoring appear </w:t>
      </w:r>
      <w:r w:rsidRPr="79DD7CC6" w:rsidR="00B36675">
        <w:rPr>
          <w:rFonts w:ascii="Garamond" w:hAnsi="Garamond" w:eastAsia="Garamond" w:cs="Garamond"/>
          <w:b w:val="0"/>
          <w:bCs w:val="0"/>
          <w:sz w:val="24"/>
          <w:szCs w:val="24"/>
          <w:lang w:val="en-US"/>
        </w:rPr>
        <w:t>frequently</w:t>
      </w:r>
      <w:r w:rsidRPr="79DD7CC6" w:rsidR="00B36675">
        <w:rPr>
          <w:rFonts w:ascii="Garamond" w:hAnsi="Garamond" w:eastAsia="Garamond" w:cs="Garamond"/>
          <w:b w:val="0"/>
          <w:bCs w:val="0"/>
          <w:sz w:val="24"/>
          <w:szCs w:val="24"/>
          <w:lang w:val="en-US"/>
        </w:rPr>
        <w:t>, particularly in work addressing air quality, industrial exposure, and post-disaster conditions. These approaches have been critical for generating locally relevant evidence in contexts where regulatory monitorin</w:t>
      </w:r>
      <w:r w:rsidRPr="79DD7CC6" w:rsidR="00B36675">
        <w:rPr>
          <w:rFonts w:ascii="Garamond" w:hAnsi="Garamond" w:eastAsia="Garamond" w:cs="Garamond"/>
          <w:b w:val="0"/>
          <w:bCs w:val="0"/>
          <w:sz w:val="24"/>
          <w:szCs w:val="24"/>
          <w:lang w:val="en-US"/>
        </w:rPr>
        <w:t>g is sparse or contested.</w:t>
      </w:r>
    </w:p>
    <w:p w:rsidR="00F55819" w:rsidP="79DD7CC6" w:rsidRDefault="00B36675" w14:paraId="00000022" w14:textId="77777777">
      <w:pPr>
        <w:spacing w:before="240" w:after="240"/>
        <w:rPr>
          <w:rFonts w:ascii="Garamond" w:hAnsi="Garamond" w:eastAsia="Garamond" w:cs="Garamond"/>
          <w:b w:val="0"/>
          <w:bCs w:val="0"/>
          <w:sz w:val="24"/>
          <w:szCs w:val="24"/>
          <w:lang w:val="en-US"/>
        </w:rPr>
      </w:pPr>
      <w:r w:rsidRPr="79DD7CC6" w:rsidR="00B36675">
        <w:rPr>
          <w:rFonts w:ascii="Garamond" w:hAnsi="Garamond" w:eastAsia="Garamond" w:cs="Garamond"/>
          <w:b w:val="0"/>
          <w:bCs w:val="0"/>
          <w:sz w:val="24"/>
          <w:szCs w:val="24"/>
          <w:lang w:val="en-US"/>
        </w:rPr>
        <w:t xml:space="preserve">However, while participation is </w:t>
      </w:r>
      <w:r w:rsidRPr="79DD7CC6" w:rsidR="00B36675">
        <w:rPr>
          <w:rFonts w:ascii="Garamond" w:hAnsi="Garamond" w:eastAsia="Garamond" w:cs="Garamond"/>
          <w:b w:val="0"/>
          <w:bCs w:val="0"/>
          <w:sz w:val="24"/>
          <w:szCs w:val="24"/>
          <w:lang w:val="en-US"/>
        </w:rPr>
        <w:t>frequently</w:t>
      </w:r>
      <w:r w:rsidRPr="79DD7CC6" w:rsidR="00B36675">
        <w:rPr>
          <w:rFonts w:ascii="Garamond" w:hAnsi="Garamond" w:eastAsia="Garamond" w:cs="Garamond"/>
          <w:b w:val="0"/>
          <w:bCs w:val="0"/>
          <w:sz w:val="24"/>
          <w:szCs w:val="24"/>
          <w:lang w:val="en-US"/>
        </w:rPr>
        <w:t xml:space="preserve"> emphasized, </w:t>
      </w:r>
      <w:r w:rsidRPr="79DD7CC6" w:rsidR="00B36675">
        <w:rPr>
          <w:rFonts w:ascii="Garamond" w:hAnsi="Garamond" w:eastAsia="Garamond" w:cs="Garamond"/>
          <w:b w:val="0"/>
          <w:bCs w:val="0"/>
          <w:sz w:val="24"/>
          <w:szCs w:val="24"/>
          <w:lang w:val="en-US"/>
        </w:rPr>
        <w:t>the conditions under which environmental knowledge is produced remain unevenly documented</w:t>
      </w:r>
      <w:r w:rsidRPr="79DD7CC6" w:rsidR="00B36675">
        <w:rPr>
          <w:rFonts w:ascii="Garamond" w:hAnsi="Garamond" w:eastAsia="Garamond" w:cs="Garamond"/>
          <w:b w:val="0"/>
          <w:bCs w:val="0"/>
          <w:sz w:val="24"/>
          <w:szCs w:val="24"/>
          <w:lang w:val="en-US"/>
        </w:rPr>
        <w:t>. Many studies describe engagement processes but provide limited detail on how data are managed, documented, or shared beyond the immediate research context. Community-generated data are often treated as inputs to a single analysis rather than as assets requiring long-term stewardship, governance, and reuse.</w:t>
      </w:r>
    </w:p>
    <w:p w:rsidR="00F55819" w:rsidP="79DD7CC6" w:rsidRDefault="00B36675" w14:paraId="00000023" w14:textId="77777777">
      <w:pPr>
        <w:spacing w:before="240" w:after="240"/>
        <w:rPr>
          <w:rFonts w:ascii="Garamond" w:hAnsi="Garamond" w:eastAsia="Garamond" w:cs="Garamond"/>
          <w:b w:val="0"/>
          <w:bCs w:val="0"/>
          <w:sz w:val="24"/>
          <w:szCs w:val="24"/>
          <w:lang w:val="en-US"/>
        </w:rPr>
      </w:pPr>
      <w:r w:rsidRPr="79DD7CC6" w:rsidR="00B36675">
        <w:rPr>
          <w:rFonts w:ascii="Garamond" w:hAnsi="Garamond" w:eastAsia="Garamond" w:cs="Garamond"/>
          <w:b w:val="0"/>
          <w:bCs w:val="0"/>
          <w:sz w:val="24"/>
          <w:szCs w:val="24"/>
          <w:lang w:val="en-US"/>
        </w:rPr>
        <w:t xml:space="preserve">The literature also reveals </w:t>
      </w:r>
      <w:r w:rsidRPr="79DD7CC6" w:rsidR="00B36675">
        <w:rPr>
          <w:rFonts w:ascii="Garamond" w:hAnsi="Garamond" w:eastAsia="Garamond" w:cs="Garamond"/>
          <w:b w:val="0"/>
          <w:bCs w:val="0"/>
          <w:sz w:val="24"/>
          <w:szCs w:val="24"/>
          <w:lang w:val="en-US"/>
        </w:rPr>
        <w:t>a persistent</w:t>
      </w:r>
      <w:r w:rsidRPr="79DD7CC6" w:rsidR="00B36675">
        <w:rPr>
          <w:rFonts w:ascii="Garamond" w:hAnsi="Garamond" w:eastAsia="Garamond" w:cs="Garamond"/>
          <w:b w:val="0"/>
          <w:bCs w:val="0"/>
          <w:sz w:val="24"/>
          <w:szCs w:val="24"/>
          <w:lang w:val="en-US"/>
        </w:rPr>
        <w:t xml:space="preserve"> asymmetry in authorship and analytical control. Academic institutions typically </w:t>
      </w:r>
      <w:r w:rsidRPr="79DD7CC6" w:rsidR="00B36675">
        <w:rPr>
          <w:rFonts w:ascii="Garamond" w:hAnsi="Garamond" w:eastAsia="Garamond" w:cs="Garamond"/>
          <w:b w:val="0"/>
          <w:bCs w:val="0"/>
          <w:sz w:val="24"/>
          <w:szCs w:val="24"/>
          <w:lang w:val="en-US"/>
        </w:rPr>
        <w:t>retain</w:t>
      </w:r>
      <w:r w:rsidRPr="79DD7CC6" w:rsidR="00B36675">
        <w:rPr>
          <w:rFonts w:ascii="Garamond" w:hAnsi="Garamond" w:eastAsia="Garamond" w:cs="Garamond"/>
          <w:b w:val="0"/>
          <w:bCs w:val="0"/>
          <w:sz w:val="24"/>
          <w:szCs w:val="24"/>
          <w:lang w:val="en-US"/>
        </w:rPr>
        <w:t xml:space="preserve"> responsibility for data processing, modeling, and interpretation, even in projects described as co-produced. This division can limit community access to underlying data and methods, constraining independent verification or reuse for advocacy and planning. Few studies explicitly address how analytical capacity is transferred or sustained within community organizations once a project</w:t>
      </w:r>
      <w:r w:rsidRPr="79DD7CC6" w:rsidR="00B36675">
        <w:rPr>
          <w:rFonts w:ascii="Garamond" w:hAnsi="Garamond" w:eastAsia="Garamond" w:cs="Garamond"/>
          <w:b w:val="0"/>
          <w:bCs w:val="0"/>
          <w:sz w:val="24"/>
          <w:szCs w:val="24"/>
          <w:lang w:val="en-US"/>
        </w:rPr>
        <w:t xml:space="preserve"> concludes.</w:t>
      </w:r>
    </w:p>
    <w:p w:rsidR="00F55819" w:rsidP="79DD7CC6" w:rsidRDefault="00B36675" w14:paraId="00000024"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b w:val="0"/>
          <w:bCs w:val="0"/>
          <w:sz w:val="24"/>
          <w:szCs w:val="24"/>
          <w:lang w:val="en-US"/>
        </w:rPr>
        <w:t xml:space="preserve">As a result, environmental justice knowledge production in the Gulf South is best characterized as </w:t>
      </w:r>
      <w:r w:rsidRPr="79DD7CC6" w:rsidR="00B36675">
        <w:rPr>
          <w:rFonts w:ascii="Garamond" w:hAnsi="Garamond" w:eastAsia="Garamond" w:cs="Garamond"/>
          <w:b w:val="0"/>
          <w:bCs w:val="0"/>
          <w:sz w:val="24"/>
          <w:szCs w:val="24"/>
          <w:lang w:val="en-US"/>
        </w:rPr>
        <w:t>collaborative but fragile</w:t>
      </w:r>
      <w:r w:rsidRPr="79DD7CC6" w:rsidR="00B36675">
        <w:rPr>
          <w:rFonts w:ascii="Garamond" w:hAnsi="Garamond" w:eastAsia="Garamond" w:cs="Garamond"/>
          <w:b w:val="0"/>
          <w:bCs w:val="0"/>
          <w:sz w:val="24"/>
          <w:szCs w:val="24"/>
          <w:lang w:val="en-US"/>
        </w:rPr>
        <w:t>. Rich e</w:t>
      </w:r>
      <w:r w:rsidRPr="79DD7CC6" w:rsidR="00B36675">
        <w:rPr>
          <w:rFonts w:ascii="Garamond" w:hAnsi="Garamond" w:eastAsia="Garamond" w:cs="Garamond"/>
          <w:sz w:val="24"/>
          <w:szCs w:val="24"/>
          <w:lang w:val="en-US"/>
        </w:rPr>
        <w:t xml:space="preserve">mpirical insights are generated through community engagement, yet the lack of consistent open science practices—clear documentation, versioned workflows, accessible repositories, and reusable outputs—limits cumulative learning and institutional memory. These gaps form a critical backdrop for understanding the capacity-building </w:t>
      </w:r>
      <w:r w:rsidRPr="79DD7CC6" w:rsidR="00B36675">
        <w:rPr>
          <w:rFonts w:ascii="Garamond" w:hAnsi="Garamond" w:eastAsia="Garamond" w:cs="Garamond"/>
          <w:sz w:val="24"/>
          <w:szCs w:val="24"/>
          <w:lang w:val="en-US"/>
        </w:rPr>
        <w:t>objectives</w:t>
      </w:r>
      <w:r w:rsidRPr="79DD7CC6" w:rsidR="00B36675">
        <w:rPr>
          <w:rFonts w:ascii="Garamond" w:hAnsi="Garamond" w:eastAsia="Garamond" w:cs="Garamond"/>
          <w:sz w:val="24"/>
          <w:szCs w:val="24"/>
          <w:lang w:val="en-US"/>
        </w:rPr>
        <w:t xml:space="preserve"> of AGEJLE-OS and the need for structured, open science–aligned workflows tailored to community-engaged research contexts.</w:t>
      </w:r>
    </w:p>
    <w:p w:rsidR="00F55819" w:rsidP="79DD7CC6" w:rsidRDefault="00F55819" w14:paraId="00000025" w14:textId="77777777">
      <w:pPr>
        <w:spacing w:before="240" w:after="240"/>
        <w:rPr>
          <w:rFonts w:ascii="Garamond" w:hAnsi="Garamond" w:eastAsia="Garamond" w:cs="Garamond"/>
          <w:sz w:val="24"/>
          <w:szCs w:val="24"/>
        </w:rPr>
      </w:pPr>
    </w:p>
    <w:p w:rsidR="00F55819" w:rsidP="79DD7CC6" w:rsidRDefault="00B36675" w14:paraId="00000026"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2. Access to Data, Tools, and Platforms</w:t>
      </w:r>
    </w:p>
    <w:p w:rsidR="00F55819" w:rsidP="79DD7CC6" w:rsidRDefault="00B36675" w14:paraId="00000027"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Access to environmental data, analytical tools, and research platforms </w:t>
      </w:r>
      <w:r w:rsidRPr="79DD7CC6" w:rsidR="00B36675">
        <w:rPr>
          <w:rFonts w:ascii="Garamond" w:hAnsi="Garamond" w:eastAsia="Garamond" w:cs="Garamond"/>
          <w:sz w:val="24"/>
          <w:szCs w:val="24"/>
          <w:lang w:val="en-US"/>
        </w:rPr>
        <w:t>remains</w:t>
      </w:r>
      <w:r w:rsidRPr="79DD7CC6" w:rsidR="00B36675">
        <w:rPr>
          <w:rFonts w:ascii="Garamond" w:hAnsi="Garamond" w:eastAsia="Garamond" w:cs="Garamond"/>
          <w:sz w:val="24"/>
          <w:szCs w:val="24"/>
          <w:lang w:val="en-US"/>
        </w:rPr>
        <w:t xml:space="preserve"> a central constraint in community-engaged environmental research in the Gulf South. While a growing body of literature acknowledges the importance of transparency and data accessibility, practical access to usable data and tools is uneven and often mediated by institutional capacity, technical </w:t>
      </w:r>
      <w:r w:rsidRPr="79DD7CC6" w:rsidR="00B36675">
        <w:rPr>
          <w:rFonts w:ascii="Garamond" w:hAnsi="Garamond" w:eastAsia="Garamond" w:cs="Garamond"/>
          <w:sz w:val="24"/>
          <w:szCs w:val="24"/>
          <w:lang w:val="en-US"/>
        </w:rPr>
        <w:t>expertise</w:t>
      </w:r>
      <w:r w:rsidRPr="79DD7CC6" w:rsidR="00B36675">
        <w:rPr>
          <w:rFonts w:ascii="Garamond" w:hAnsi="Garamond" w:eastAsia="Garamond" w:cs="Garamond"/>
          <w:sz w:val="24"/>
          <w:szCs w:val="24"/>
          <w:lang w:val="en-US"/>
        </w:rPr>
        <w:t>, and resource availability.</w:t>
      </w:r>
    </w:p>
    <w:p w:rsidR="00F55819" w:rsidP="79DD7CC6" w:rsidRDefault="00B36675" w14:paraId="00000028"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Many studies rely on geospatial analysis, environmental monitoring data, or remote sensing products to document exposure and risk related to flooding, heat, air quality, and industrial pollution. However, these data are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accessed, processed, and interpreted within academic or government settings, with limited direct access for community partners. Even when underlying datasets are publicly available, the platforms </w:t>
      </w:r>
      <w:r w:rsidRPr="79DD7CC6" w:rsidR="00B36675">
        <w:rPr>
          <w:rFonts w:ascii="Garamond" w:hAnsi="Garamond" w:eastAsia="Garamond" w:cs="Garamond"/>
          <w:sz w:val="24"/>
          <w:szCs w:val="24"/>
          <w:lang w:val="en-US"/>
        </w:rPr>
        <w:t>required</w:t>
      </w:r>
      <w:r w:rsidRPr="79DD7CC6" w:rsidR="00B36675">
        <w:rPr>
          <w:rFonts w:ascii="Garamond" w:hAnsi="Garamond" w:eastAsia="Garamond" w:cs="Garamond"/>
          <w:sz w:val="24"/>
          <w:szCs w:val="24"/>
          <w:lang w:val="en-US"/>
        </w:rPr>
        <w:t xml:space="preserve"> to discover, visualize, and analyze them present </w:t>
      </w:r>
      <w:r w:rsidRPr="79DD7CC6" w:rsidR="00B36675">
        <w:rPr>
          <w:rFonts w:ascii="Garamond" w:hAnsi="Garamond" w:eastAsia="Garamond" w:cs="Garamond"/>
          <w:sz w:val="24"/>
          <w:szCs w:val="24"/>
          <w:lang w:val="en-US"/>
        </w:rPr>
        <w:t>substantial</w:t>
      </w:r>
      <w:r w:rsidRPr="79DD7CC6" w:rsidR="00B36675">
        <w:rPr>
          <w:rFonts w:ascii="Garamond" w:hAnsi="Garamond" w:eastAsia="Garamond" w:cs="Garamond"/>
          <w:sz w:val="24"/>
          <w:szCs w:val="24"/>
          <w:lang w:val="en-US"/>
        </w:rPr>
        <w:t xml:space="preserve"> barriers for no</w:t>
      </w:r>
      <w:r w:rsidRPr="79DD7CC6" w:rsidR="00B36675">
        <w:rPr>
          <w:rFonts w:ascii="Garamond" w:hAnsi="Garamond" w:eastAsia="Garamond" w:cs="Garamond"/>
          <w:sz w:val="24"/>
          <w:szCs w:val="24"/>
          <w:lang w:val="en-US"/>
        </w:rPr>
        <w:t>n-specialist users.</w:t>
      </w:r>
    </w:p>
    <w:p w:rsidR="00F55819" w:rsidP="79DD7CC6" w:rsidRDefault="00B36675" w14:paraId="00000029"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The literature documents several recurring access challenges. First, data discovery </w:t>
      </w:r>
      <w:r w:rsidRPr="79DD7CC6" w:rsidR="00B36675">
        <w:rPr>
          <w:rFonts w:ascii="Garamond" w:hAnsi="Garamond" w:eastAsia="Garamond" w:cs="Garamond"/>
          <w:sz w:val="24"/>
          <w:szCs w:val="24"/>
          <w:lang w:val="en-US"/>
        </w:rPr>
        <w:t>remains</w:t>
      </w:r>
      <w:r w:rsidRPr="79DD7CC6" w:rsidR="00B36675">
        <w:rPr>
          <w:rFonts w:ascii="Garamond" w:hAnsi="Garamond" w:eastAsia="Garamond" w:cs="Garamond"/>
          <w:sz w:val="24"/>
          <w:szCs w:val="24"/>
          <w:lang w:val="en-US"/>
        </w:rPr>
        <w:t xml:space="preserve"> opaque. Researchers often reference complex data portals, proprietary software, or bespoke analytical pipelines without </w:t>
      </w:r>
      <w:r w:rsidRPr="79DD7CC6" w:rsidR="00B36675">
        <w:rPr>
          <w:rFonts w:ascii="Garamond" w:hAnsi="Garamond" w:eastAsia="Garamond" w:cs="Garamond"/>
          <w:sz w:val="24"/>
          <w:szCs w:val="24"/>
          <w:lang w:val="en-US"/>
        </w:rPr>
        <w:t>providing</w:t>
      </w:r>
      <w:r w:rsidRPr="79DD7CC6" w:rsidR="00B36675">
        <w:rPr>
          <w:rFonts w:ascii="Garamond" w:hAnsi="Garamond" w:eastAsia="Garamond" w:cs="Garamond"/>
          <w:sz w:val="24"/>
          <w:szCs w:val="24"/>
          <w:lang w:val="en-US"/>
        </w:rPr>
        <w:t xml:space="preserve"> clear guidance on how others might </w:t>
      </w:r>
      <w:r w:rsidRPr="79DD7CC6" w:rsidR="00B36675">
        <w:rPr>
          <w:rFonts w:ascii="Garamond" w:hAnsi="Garamond" w:eastAsia="Garamond" w:cs="Garamond"/>
          <w:sz w:val="24"/>
          <w:szCs w:val="24"/>
          <w:lang w:val="en-US"/>
        </w:rPr>
        <w:t>locate</w:t>
      </w:r>
      <w:r w:rsidRPr="79DD7CC6" w:rsidR="00B36675">
        <w:rPr>
          <w:rFonts w:ascii="Garamond" w:hAnsi="Garamond" w:eastAsia="Garamond" w:cs="Garamond"/>
          <w:sz w:val="24"/>
          <w:szCs w:val="24"/>
          <w:lang w:val="en-US"/>
        </w:rPr>
        <w:t xml:space="preserve"> or reuse the same data. Second, technical requirements create exclusionary thresholds. The use of advanced GIS software, programming languages, or high-performance computing environments limits meaningful participation to those with prior training </w:t>
      </w:r>
      <w:r w:rsidRPr="79DD7CC6" w:rsidR="00B36675">
        <w:rPr>
          <w:rFonts w:ascii="Garamond" w:hAnsi="Garamond" w:eastAsia="Garamond" w:cs="Garamond"/>
          <w:sz w:val="24"/>
          <w:szCs w:val="24"/>
          <w:lang w:val="en-US"/>
        </w:rPr>
        <w:t xml:space="preserve">or institutional support. Third, platform fragmentation complicates engagement. Data relevant to a single environmental justice issue may be distributed across multiple agencies, formats, and interfaces, increasing the burden on community organizations </w:t>
      </w:r>
      <w:r w:rsidRPr="79DD7CC6" w:rsidR="00B36675">
        <w:rPr>
          <w:rFonts w:ascii="Garamond" w:hAnsi="Garamond" w:eastAsia="Garamond" w:cs="Garamond"/>
          <w:sz w:val="24"/>
          <w:szCs w:val="24"/>
          <w:lang w:val="en-US"/>
        </w:rPr>
        <w:t>seeking</w:t>
      </w:r>
      <w:r w:rsidRPr="79DD7CC6" w:rsidR="00B36675">
        <w:rPr>
          <w:rFonts w:ascii="Garamond" w:hAnsi="Garamond" w:eastAsia="Garamond" w:cs="Garamond"/>
          <w:sz w:val="24"/>
          <w:szCs w:val="24"/>
          <w:lang w:val="en-US"/>
        </w:rPr>
        <w:t xml:space="preserve"> to assemble a coherent picture of risk.</w:t>
      </w:r>
    </w:p>
    <w:p w:rsidR="00F55819" w:rsidP="79DD7CC6" w:rsidRDefault="00B36675" w14:paraId="0000002B" w14:textId="49AB8559">
      <w:pPr>
        <w:pStyle w:val="Normal"/>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Participatory mapping and citizen science initiatives offer partial responses to these barriers. Several studies describe the use of low-cost sensors, mobile data collection tools, and web-based mapping platforms to support community data collection and visualization. These approaches can democratize data generation and improve local relevance. However, the literature also notes that such tools often </w:t>
      </w:r>
      <w:r w:rsidRPr="79DD7CC6" w:rsidR="00B36675">
        <w:rPr>
          <w:rFonts w:ascii="Garamond" w:hAnsi="Garamond" w:eastAsia="Garamond" w:cs="Garamond"/>
          <w:sz w:val="24"/>
          <w:szCs w:val="24"/>
          <w:lang w:val="en-US"/>
        </w:rPr>
        <w:t>operate</w:t>
      </w:r>
      <w:r w:rsidRPr="79DD7CC6" w:rsidR="00B36675">
        <w:rPr>
          <w:rFonts w:ascii="Garamond" w:hAnsi="Garamond" w:eastAsia="Garamond" w:cs="Garamond"/>
          <w:sz w:val="24"/>
          <w:szCs w:val="24"/>
          <w:lang w:val="en-US"/>
        </w:rPr>
        <w:t xml:space="preserve"> at the margins of formal data systems. Community-generated data may struggle to gain legitimacy, int</w:t>
      </w:r>
      <w:r w:rsidRPr="79DD7CC6" w:rsidR="00B36675">
        <w:rPr>
          <w:rFonts w:ascii="Garamond" w:hAnsi="Garamond" w:eastAsia="Garamond" w:cs="Garamond"/>
          <w:sz w:val="24"/>
          <w:szCs w:val="24"/>
          <w:lang w:val="en-US"/>
        </w:rPr>
        <w:t>eroperability, or sustained use once a project ends, particularly when they are not integrated into openly documented platforms or repositories.</w:t>
      </w:r>
    </w:p>
    <w:p w:rsidR="00F55819" w:rsidP="79DD7CC6" w:rsidRDefault="00B36675" w14:paraId="0000002C"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Access challenges are further compounded by uneven digital infrastructure and organizational capacity. Small environmental justice organizations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lack dedicated technical staff, stable funding for software licenses, or time to engage in extensive training. As a result, access to data and tools is not simply a technical issue but a structural one, reinforcing existing inequities in who can analyze environmental conditions and whose evidence is considered credible.</w:t>
      </w:r>
    </w:p>
    <w:p w:rsidR="00F55819" w:rsidP="79DD7CC6" w:rsidRDefault="00B36675" w14:paraId="0000002D"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b w:val="0"/>
          <w:bCs w:val="0"/>
          <w:sz w:val="24"/>
          <w:szCs w:val="24"/>
          <w:lang w:val="en-US"/>
        </w:rPr>
        <w:t xml:space="preserve">Across the reviewed literature, </w:t>
      </w:r>
      <w:r w:rsidRPr="79DD7CC6" w:rsidR="00B36675">
        <w:rPr>
          <w:rFonts w:ascii="Garamond" w:hAnsi="Garamond" w:eastAsia="Garamond" w:cs="Garamond"/>
          <w:b w:val="0"/>
          <w:bCs w:val="0"/>
          <w:sz w:val="24"/>
          <w:szCs w:val="24"/>
          <w:lang w:val="en-US"/>
        </w:rPr>
        <w:t>relatively few</w:t>
      </w:r>
      <w:r w:rsidRPr="79DD7CC6" w:rsidR="00B36675">
        <w:rPr>
          <w:rFonts w:ascii="Garamond" w:hAnsi="Garamond" w:eastAsia="Garamond" w:cs="Garamond"/>
          <w:b w:val="0"/>
          <w:bCs w:val="0"/>
          <w:sz w:val="24"/>
          <w:szCs w:val="24"/>
          <w:lang w:val="en-US"/>
        </w:rPr>
        <w:t xml:space="preserve"> studies explicitly address </w:t>
      </w:r>
      <w:r w:rsidRPr="79DD7CC6" w:rsidR="00B36675">
        <w:rPr>
          <w:rFonts w:ascii="Garamond" w:hAnsi="Garamond" w:eastAsia="Garamond" w:cs="Garamond"/>
          <w:b w:val="0"/>
          <w:bCs w:val="0"/>
          <w:sz w:val="24"/>
          <w:szCs w:val="24"/>
          <w:lang w:val="en-US"/>
        </w:rPr>
        <w:t>how access to data and tools is designed, supported, and sustained over time</w:t>
      </w:r>
      <w:r w:rsidRPr="79DD7CC6" w:rsidR="00B36675">
        <w:rPr>
          <w:rFonts w:ascii="Garamond" w:hAnsi="Garamond" w:eastAsia="Garamond" w:cs="Garamond"/>
          <w:b w:val="0"/>
          <w:bCs w:val="0"/>
          <w:sz w:val="24"/>
          <w:szCs w:val="24"/>
          <w:lang w:val="en-US"/>
        </w:rPr>
        <w:t>. Access is often assumed rather than operationalized. This gap limits the ability of community-engaged research to move beyond one-off collaborati</w:t>
      </w:r>
      <w:r w:rsidRPr="79DD7CC6" w:rsidR="00B36675">
        <w:rPr>
          <w:rFonts w:ascii="Garamond" w:hAnsi="Garamond" w:eastAsia="Garamond" w:cs="Garamond"/>
          <w:sz w:val="24"/>
          <w:szCs w:val="24"/>
          <w:lang w:val="en-US"/>
        </w:rPr>
        <w:t>ons toward durable, cumulative open science practices.</w:t>
      </w:r>
    </w:p>
    <w:p w:rsidR="00F55819" w:rsidP="79DD7CC6" w:rsidRDefault="00B36675" w14:paraId="0000002E"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AGEJLE-OS relevance</w:t>
      </w:r>
    </w:p>
    <w:p w:rsidR="00F55819" w:rsidP="79DD7CC6" w:rsidRDefault="00B36675" w14:paraId="0000002F"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The AGEJLE-OS project responds directly to the access constraints </w:t>
      </w:r>
      <w:r w:rsidRPr="79DD7CC6" w:rsidR="00B36675">
        <w:rPr>
          <w:rFonts w:ascii="Garamond" w:hAnsi="Garamond" w:eastAsia="Garamond" w:cs="Garamond"/>
          <w:sz w:val="24"/>
          <w:szCs w:val="24"/>
          <w:lang w:val="en-US"/>
        </w:rPr>
        <w:t>identified</w:t>
      </w:r>
      <w:r w:rsidRPr="79DD7CC6" w:rsidR="00B36675">
        <w:rPr>
          <w:rFonts w:ascii="Garamond" w:hAnsi="Garamond" w:eastAsia="Garamond" w:cs="Garamond"/>
          <w:sz w:val="24"/>
          <w:szCs w:val="24"/>
          <w:lang w:val="en-US"/>
        </w:rPr>
        <w:t xml:space="preserve"> in the literature by focusing on practical pathways to data and tools that are openly available, well-documented, and </w:t>
      </w:r>
      <w:r w:rsidRPr="79DD7CC6" w:rsidR="00B36675">
        <w:rPr>
          <w:rFonts w:ascii="Garamond" w:hAnsi="Garamond" w:eastAsia="Garamond" w:cs="Garamond"/>
          <w:sz w:val="24"/>
          <w:szCs w:val="24"/>
          <w:lang w:val="en-US"/>
        </w:rPr>
        <w:t>appropriate for</w:t>
      </w:r>
      <w:r w:rsidRPr="79DD7CC6" w:rsidR="00B36675">
        <w:rPr>
          <w:rFonts w:ascii="Garamond" w:hAnsi="Garamond" w:eastAsia="Garamond" w:cs="Garamond"/>
          <w:sz w:val="24"/>
          <w:szCs w:val="24"/>
          <w:lang w:val="en-US"/>
        </w:rPr>
        <w:t xml:space="preserve"> community-engaged research. Through curated exposure to open platforms, </w:t>
      </w:r>
      <w:r w:rsidRPr="79DD7CC6" w:rsidR="00B36675">
        <w:rPr>
          <w:rFonts w:ascii="Garamond" w:hAnsi="Garamond" w:eastAsia="Garamond" w:cs="Garamond"/>
          <w:sz w:val="24"/>
          <w:szCs w:val="24"/>
          <w:lang w:val="en-US"/>
        </w:rPr>
        <w:t>facilitated</w:t>
      </w:r>
      <w:r w:rsidRPr="79DD7CC6" w:rsidR="00B36675">
        <w:rPr>
          <w:rFonts w:ascii="Garamond" w:hAnsi="Garamond" w:eastAsia="Garamond" w:cs="Garamond"/>
          <w:sz w:val="24"/>
          <w:szCs w:val="24"/>
          <w:lang w:val="en-US"/>
        </w:rPr>
        <w:t xml:space="preserve"> use of publicly accessible Earth observation resources, and structured guidance on tool selection and use, AGEJLE-OS addresses not only whether data and tools exist, but whether they are realistically usable by enviro</w:t>
      </w:r>
      <w:r w:rsidRPr="79DD7CC6" w:rsidR="00B36675">
        <w:rPr>
          <w:rFonts w:ascii="Garamond" w:hAnsi="Garamond" w:eastAsia="Garamond" w:cs="Garamond"/>
          <w:sz w:val="24"/>
          <w:szCs w:val="24"/>
          <w:lang w:val="en-US"/>
        </w:rPr>
        <w:t xml:space="preserve">nmental justice organizations. This emphasis on lowering access barriers and demystifying research platforms underpins the project’s alignment with TOPS </w:t>
      </w:r>
      <w:r w:rsidRPr="79DD7CC6" w:rsidR="00B36675">
        <w:rPr>
          <w:rFonts w:ascii="Garamond" w:hAnsi="Garamond" w:eastAsia="Garamond" w:cs="Garamond"/>
          <w:sz w:val="24"/>
          <w:szCs w:val="24"/>
          <w:lang w:val="en-US"/>
        </w:rPr>
        <w:t>objectives</w:t>
      </w:r>
      <w:r w:rsidRPr="79DD7CC6" w:rsidR="00B36675">
        <w:rPr>
          <w:rFonts w:ascii="Garamond" w:hAnsi="Garamond" w:eastAsia="Garamond" w:cs="Garamond"/>
          <w:sz w:val="24"/>
          <w:szCs w:val="24"/>
          <w:lang w:val="en-US"/>
        </w:rPr>
        <w:t xml:space="preserve"> related to open tools and resources.</w:t>
      </w:r>
    </w:p>
    <w:p w:rsidR="00F55819" w:rsidP="79DD7CC6" w:rsidRDefault="00B36675" w14:paraId="00000030"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3. Open Data, Transparency, and Trust</w:t>
      </w:r>
    </w:p>
    <w:p w:rsidR="00F55819" w:rsidP="79DD7CC6" w:rsidRDefault="00B36675" w14:paraId="00000031"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Open data is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cited in the literature as a mechanism for improving transparency, accountability, and public trust in environmental research. In environmental justice contexts, however, openness is not uniformly experienced as beneficial. The Gulf South literature reflects a persistent tension between the promise of open data and community concerns about misuse, misinterpretation, and extractive research practices.</w:t>
      </w:r>
    </w:p>
    <w:p w:rsidR="00F55819" w:rsidP="79DD7CC6" w:rsidRDefault="00B36675" w14:paraId="00000032"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Many community-engaged environmental studies rely on data that are technically public but operationally inaccessible. Air quality measurements, satellite-derived indicators, flood maps, and health statistics are often described as “open,” yet lack sufficient documentation, contextual explanation, or provenance to support independent interpretation by non-specialists. As a result, openness at the level of access does not necessarily translate into transparency at the level of understanding.</w:t>
      </w:r>
    </w:p>
    <w:p w:rsidR="00F55819" w:rsidP="79DD7CC6" w:rsidRDefault="00B36675" w14:paraId="00000033"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Trust </w:t>
      </w:r>
      <w:r w:rsidRPr="79DD7CC6" w:rsidR="00B36675">
        <w:rPr>
          <w:rFonts w:ascii="Garamond" w:hAnsi="Garamond" w:eastAsia="Garamond" w:cs="Garamond"/>
          <w:sz w:val="24"/>
          <w:szCs w:val="24"/>
          <w:lang w:val="en-US"/>
        </w:rPr>
        <w:t>emerges</w:t>
      </w:r>
      <w:r w:rsidRPr="79DD7CC6" w:rsidR="00B36675">
        <w:rPr>
          <w:rFonts w:ascii="Garamond" w:hAnsi="Garamond" w:eastAsia="Garamond" w:cs="Garamond"/>
          <w:sz w:val="24"/>
          <w:szCs w:val="24"/>
          <w:lang w:val="en-US"/>
        </w:rPr>
        <w:t xml:space="preserve"> as a central theme across the literature. Communities with long histories of environmental harm and regulatory failure often approach open datasets with skepticism, particularly when data are released without explanation of limitations, uncertainty, or relevance to local conditions. Several studies document instances where open data were perceived as incomplete, outdated, or misaligned with lived experience, undermining confidence in both the data and the institutions producing them. In these </w:t>
      </w:r>
      <w:r w:rsidRPr="79DD7CC6" w:rsidR="00B36675">
        <w:rPr>
          <w:rFonts w:ascii="Garamond" w:hAnsi="Garamond" w:eastAsia="Garamond" w:cs="Garamond"/>
          <w:sz w:val="24"/>
          <w:szCs w:val="24"/>
          <w:lang w:val="en-US"/>
        </w:rPr>
        <w:t>cases, openness without interpretive support can reinforce mistrust rather than alleviate it.</w:t>
      </w:r>
    </w:p>
    <w:p w:rsidR="00F55819" w:rsidP="79DD7CC6" w:rsidRDefault="00B36675" w14:paraId="00000034"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The literature also highlights asymmetries in how open data </w:t>
      </w:r>
      <w:r w:rsidRPr="79DD7CC6" w:rsidR="00B36675">
        <w:rPr>
          <w:rFonts w:ascii="Garamond" w:hAnsi="Garamond" w:eastAsia="Garamond" w:cs="Garamond"/>
          <w:sz w:val="24"/>
          <w:szCs w:val="24"/>
          <w:lang w:val="en-US"/>
        </w:rPr>
        <w:t>are</w:t>
      </w:r>
      <w:r w:rsidRPr="79DD7CC6" w:rsidR="00B36675">
        <w:rPr>
          <w:rFonts w:ascii="Garamond" w:hAnsi="Garamond" w:eastAsia="Garamond" w:cs="Garamond"/>
          <w:sz w:val="24"/>
          <w:szCs w:val="24"/>
          <w:lang w:val="en-US"/>
        </w:rPr>
        <w:t xml:space="preserve"> used. Academic and governmental actors typically </w:t>
      </w:r>
      <w:r w:rsidRPr="79DD7CC6" w:rsidR="00B36675">
        <w:rPr>
          <w:rFonts w:ascii="Garamond" w:hAnsi="Garamond" w:eastAsia="Garamond" w:cs="Garamond"/>
          <w:sz w:val="24"/>
          <w:szCs w:val="24"/>
          <w:lang w:val="en-US"/>
        </w:rPr>
        <w:t>possess</w:t>
      </w:r>
      <w:r w:rsidRPr="79DD7CC6" w:rsidR="00B36675">
        <w:rPr>
          <w:rFonts w:ascii="Garamond" w:hAnsi="Garamond" w:eastAsia="Garamond" w:cs="Garamond"/>
          <w:sz w:val="24"/>
          <w:szCs w:val="24"/>
          <w:lang w:val="en-US"/>
        </w:rPr>
        <w:t xml:space="preserve"> the technical capacity to contextualize uncertainty, aggregate indicators, and communicate results strategically. Community organizations, by contrast, are often expected to consume open data without comparable analytical support. This imbalance can place communities at a disadvantage in policy debates, where data interpretation carries as much weight as data availability.</w:t>
      </w:r>
    </w:p>
    <w:p w:rsidR="00F55819" w:rsidP="79DD7CC6" w:rsidRDefault="00B36675" w14:paraId="00000035"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Citizen science and community-generated data are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proposed as solutions to trust deficits. Participatory monitoring initiatives can strengthen local ownership of data and improve alignment with lived experience. However, the literature suggests that these approaches face challenges when community data are not integrated into recognized data infrastructures or documented using open standards. Without clear metadata, versioning, and governance frameworks, community-generated data risk </w:t>
      </w:r>
      <w:r w:rsidRPr="79DD7CC6" w:rsidR="00B36675">
        <w:rPr>
          <w:rFonts w:ascii="Garamond" w:hAnsi="Garamond" w:eastAsia="Garamond" w:cs="Garamond"/>
          <w:sz w:val="24"/>
          <w:szCs w:val="24"/>
          <w:lang w:val="en-US"/>
        </w:rPr>
        <w:t>being</w:t>
      </w:r>
      <w:r w:rsidRPr="79DD7CC6" w:rsidR="00B36675">
        <w:rPr>
          <w:rFonts w:ascii="Garamond" w:hAnsi="Garamond" w:eastAsia="Garamond" w:cs="Garamond"/>
          <w:sz w:val="24"/>
          <w:szCs w:val="24"/>
          <w:lang w:val="en-US"/>
        </w:rPr>
        <w:t xml:space="preserve"> dismisse</w:t>
      </w:r>
      <w:r w:rsidRPr="79DD7CC6" w:rsidR="00B36675">
        <w:rPr>
          <w:rFonts w:ascii="Garamond" w:hAnsi="Garamond" w:eastAsia="Garamond" w:cs="Garamond"/>
          <w:sz w:val="24"/>
          <w:szCs w:val="24"/>
          <w:lang w:val="en-US"/>
        </w:rPr>
        <w:t>d as anecdotal or methodologically weak, even when rigorously collected.</w:t>
      </w:r>
    </w:p>
    <w:p w:rsidR="00F55819" w:rsidP="79DD7CC6" w:rsidRDefault="00B36675" w14:paraId="00000036"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Importantly, few studies explicitly address how trust is built and </w:t>
      </w:r>
      <w:r w:rsidRPr="79DD7CC6" w:rsidR="00B36675">
        <w:rPr>
          <w:rFonts w:ascii="Garamond" w:hAnsi="Garamond" w:eastAsia="Garamond" w:cs="Garamond"/>
          <w:sz w:val="24"/>
          <w:szCs w:val="24"/>
          <w:lang w:val="en-US"/>
        </w:rPr>
        <w:t>maintained</w:t>
      </w:r>
      <w:r w:rsidRPr="79DD7CC6" w:rsidR="00B36675">
        <w:rPr>
          <w:rFonts w:ascii="Garamond" w:hAnsi="Garamond" w:eastAsia="Garamond" w:cs="Garamond"/>
          <w:sz w:val="24"/>
          <w:szCs w:val="24"/>
          <w:lang w:val="en-US"/>
        </w:rPr>
        <w:t xml:space="preserve"> over time through data practices. Transparency is often framed as a static condition—data </w:t>
      </w:r>
      <w:r w:rsidRPr="79DD7CC6" w:rsidR="00B36675">
        <w:rPr>
          <w:rFonts w:ascii="Garamond" w:hAnsi="Garamond" w:eastAsia="Garamond" w:cs="Garamond"/>
          <w:sz w:val="24"/>
          <w:szCs w:val="24"/>
          <w:lang w:val="en-US"/>
        </w:rPr>
        <w:t>are</w:t>
      </w:r>
      <w:r w:rsidRPr="79DD7CC6" w:rsidR="00B36675">
        <w:rPr>
          <w:rFonts w:ascii="Garamond" w:hAnsi="Garamond" w:eastAsia="Garamond" w:cs="Garamond"/>
          <w:sz w:val="24"/>
          <w:szCs w:val="24"/>
          <w:lang w:val="en-US"/>
        </w:rPr>
        <w:t xml:space="preserve"> either open or closed—rather than as an ongoing relationship requiring documentation, dialogue, and accountability. The absence of explicit data governance frameworks in much of the literature limits the ability of open data initiatives to support durable trust between researchers and communities.</w:t>
      </w:r>
    </w:p>
    <w:p w:rsidR="00F55819" w:rsidP="79DD7CC6" w:rsidRDefault="00B36675" w14:paraId="00000037"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Overall, the literature </w:t>
      </w:r>
      <w:r w:rsidRPr="79DD7CC6" w:rsidR="00B36675">
        <w:rPr>
          <w:rFonts w:ascii="Garamond" w:hAnsi="Garamond" w:eastAsia="Garamond" w:cs="Garamond"/>
          <w:sz w:val="24"/>
          <w:szCs w:val="24"/>
          <w:lang w:val="en-US"/>
        </w:rPr>
        <w:t>indica</w:t>
      </w:r>
      <w:r w:rsidRPr="79DD7CC6" w:rsidR="00B36675">
        <w:rPr>
          <w:rFonts w:ascii="Garamond" w:hAnsi="Garamond" w:eastAsia="Garamond" w:cs="Garamond"/>
          <w:b w:val="0"/>
          <w:bCs w:val="0"/>
          <w:sz w:val="24"/>
          <w:szCs w:val="24"/>
          <w:lang w:val="en-US"/>
        </w:rPr>
        <w:t>tes</w:t>
      </w:r>
      <w:r w:rsidRPr="79DD7CC6" w:rsidR="00B36675">
        <w:rPr>
          <w:rFonts w:ascii="Garamond" w:hAnsi="Garamond" w:eastAsia="Garamond" w:cs="Garamond"/>
          <w:b w:val="0"/>
          <w:bCs w:val="0"/>
          <w:sz w:val="24"/>
          <w:szCs w:val="24"/>
          <w:lang w:val="en-US"/>
        </w:rPr>
        <w:t xml:space="preserve"> that </w:t>
      </w:r>
      <w:r w:rsidRPr="79DD7CC6" w:rsidR="00B36675">
        <w:rPr>
          <w:rFonts w:ascii="Garamond" w:hAnsi="Garamond" w:eastAsia="Garamond" w:cs="Garamond"/>
          <w:b w:val="0"/>
          <w:bCs w:val="0"/>
          <w:sz w:val="24"/>
          <w:szCs w:val="24"/>
          <w:lang w:val="en-US"/>
        </w:rPr>
        <w:t>open data alone is insufficient</w:t>
      </w:r>
      <w:r w:rsidRPr="79DD7CC6" w:rsidR="00B36675">
        <w:rPr>
          <w:rFonts w:ascii="Garamond" w:hAnsi="Garamond" w:eastAsia="Garamond" w:cs="Garamond"/>
          <w:b w:val="0"/>
          <w:bCs w:val="0"/>
          <w:sz w:val="24"/>
          <w:szCs w:val="24"/>
          <w:lang w:val="en-US"/>
        </w:rPr>
        <w:t xml:space="preserve"> to address transparency and trust concerns in Gulf South environmental justice research. Openness must be accompanied by clear documentation, explicit acknowledgment of uncertainty, a</w:t>
      </w:r>
      <w:r w:rsidRPr="79DD7CC6" w:rsidR="00B36675">
        <w:rPr>
          <w:rFonts w:ascii="Garamond" w:hAnsi="Garamond" w:eastAsia="Garamond" w:cs="Garamond"/>
          <w:sz w:val="24"/>
          <w:szCs w:val="24"/>
          <w:lang w:val="en-US"/>
        </w:rPr>
        <w:t>nd shared decision-making about what data are released, how they are framed, and for what purposes.</w:t>
      </w:r>
    </w:p>
    <w:p w:rsidR="00F55819" w:rsidP="79DD7CC6" w:rsidRDefault="00B36675" w14:paraId="00000038"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AGEJLE-OS relevance</w:t>
      </w:r>
    </w:p>
    <w:p w:rsidR="00F55819" w:rsidP="79DD7CC6" w:rsidRDefault="00B36675" w14:paraId="00000039"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AGEJLE-OS directly addresses the gap between nominal openness and meaningful transparency by emphasizing data governance, documentation, and context alongside access. Through structured guidance on metadata, data dictionaries, provenance tracking, and sensitivity assessment, the project </w:t>
      </w:r>
      <w:r w:rsidRPr="79DD7CC6" w:rsidR="00B36675">
        <w:rPr>
          <w:rFonts w:ascii="Garamond" w:hAnsi="Garamond" w:eastAsia="Garamond" w:cs="Garamond"/>
          <w:sz w:val="24"/>
          <w:szCs w:val="24"/>
          <w:lang w:val="en-US"/>
        </w:rPr>
        <w:t>reframes</w:t>
      </w:r>
      <w:r w:rsidRPr="79DD7CC6" w:rsidR="00B36675">
        <w:rPr>
          <w:rFonts w:ascii="Garamond" w:hAnsi="Garamond" w:eastAsia="Garamond" w:cs="Garamond"/>
          <w:sz w:val="24"/>
          <w:szCs w:val="24"/>
          <w:lang w:val="en-US"/>
        </w:rPr>
        <w:t xml:space="preserve"> open data as a relational practice rather than a technical endpoint. By centering trust, interpretability, and harm reduction, AGEJLE-OS aligns open data practices with the realities of environmental justice work in</w:t>
      </w:r>
      <w:r w:rsidRPr="79DD7CC6" w:rsidR="00B36675">
        <w:rPr>
          <w:rFonts w:ascii="Garamond" w:hAnsi="Garamond" w:eastAsia="Garamond" w:cs="Garamond"/>
          <w:sz w:val="24"/>
          <w:szCs w:val="24"/>
          <w:lang w:val="en-US"/>
        </w:rPr>
        <w:t xml:space="preserve"> the Gulf South and responds to the trust deficits </w:t>
      </w:r>
      <w:r w:rsidRPr="79DD7CC6" w:rsidR="00B36675">
        <w:rPr>
          <w:rFonts w:ascii="Garamond" w:hAnsi="Garamond" w:eastAsia="Garamond" w:cs="Garamond"/>
          <w:sz w:val="24"/>
          <w:szCs w:val="24"/>
          <w:lang w:val="en-US"/>
        </w:rPr>
        <w:t>identified</w:t>
      </w:r>
      <w:r w:rsidRPr="79DD7CC6" w:rsidR="00B36675">
        <w:rPr>
          <w:rFonts w:ascii="Garamond" w:hAnsi="Garamond" w:eastAsia="Garamond" w:cs="Garamond"/>
          <w:sz w:val="24"/>
          <w:szCs w:val="24"/>
          <w:lang w:val="en-US"/>
        </w:rPr>
        <w:t xml:space="preserve"> across the literature.</w:t>
      </w:r>
    </w:p>
    <w:p w:rsidR="00F55819" w:rsidP="79DD7CC6" w:rsidRDefault="00B36675" w14:paraId="0000003A"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4. Open Methods, Reproducibility, and Analytical Transparency</w:t>
      </w:r>
    </w:p>
    <w:p w:rsidR="00F55819" w:rsidP="79DD7CC6" w:rsidRDefault="00B36675" w14:paraId="0000003B"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Transparency and reproducibility are particularly critical in community-engaged environmental research, where data and methods are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challenged on grounds of validity, rigor, or credibility. In the Gulf South, community-generated evidence is often scrutinized more aggressively than institutionally produced data, especially when it is used to contest regulatory decisions, industrial practices, or public health narratives. As a result, the ability to clearly document methods and reproduce analyses is</w:t>
      </w:r>
      <w:r w:rsidRPr="79DD7CC6" w:rsidR="00B36675">
        <w:rPr>
          <w:rFonts w:ascii="Garamond" w:hAnsi="Garamond" w:eastAsia="Garamond" w:cs="Garamond"/>
          <w:sz w:val="24"/>
          <w:szCs w:val="24"/>
          <w:lang w:val="en-US"/>
        </w:rPr>
        <w:t xml:space="preserve"> not a technical preference but a practical necessity.</w:t>
      </w:r>
    </w:p>
    <w:p w:rsidR="00F55819" w:rsidP="79DD7CC6" w:rsidRDefault="00B36675" w14:paraId="0000003C"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The literature </w:t>
      </w:r>
      <w:r w:rsidRPr="79DD7CC6" w:rsidR="00B36675">
        <w:rPr>
          <w:rFonts w:ascii="Garamond" w:hAnsi="Garamond" w:eastAsia="Garamond" w:cs="Garamond"/>
          <w:sz w:val="24"/>
          <w:szCs w:val="24"/>
          <w:lang w:val="en-US"/>
        </w:rPr>
        <w:t>indicates</w:t>
      </w:r>
      <w:r w:rsidRPr="79DD7CC6" w:rsidR="00B36675">
        <w:rPr>
          <w:rFonts w:ascii="Garamond" w:hAnsi="Garamond" w:eastAsia="Garamond" w:cs="Garamond"/>
          <w:sz w:val="24"/>
          <w:szCs w:val="24"/>
          <w:lang w:val="en-US"/>
        </w:rPr>
        <w:t xml:space="preserve"> that many community-engaged studies </w:t>
      </w:r>
      <w:r w:rsidRPr="79DD7CC6" w:rsidR="00B36675">
        <w:rPr>
          <w:rFonts w:ascii="Garamond" w:hAnsi="Garamond" w:eastAsia="Garamond" w:cs="Garamond"/>
          <w:sz w:val="24"/>
          <w:szCs w:val="24"/>
          <w:lang w:val="en-US"/>
        </w:rPr>
        <w:t>provide</w:t>
      </w:r>
      <w:r w:rsidRPr="79DD7CC6" w:rsidR="00B36675">
        <w:rPr>
          <w:rFonts w:ascii="Garamond" w:hAnsi="Garamond" w:eastAsia="Garamond" w:cs="Garamond"/>
          <w:sz w:val="24"/>
          <w:szCs w:val="24"/>
          <w:lang w:val="en-US"/>
        </w:rPr>
        <w:t xml:space="preserve"> rich contextual insight but limited methodological transparency. Analytical steps are often summarized rather than fully documented, with minimal information on data preprocessing, parameter </w:t>
      </w:r>
      <w:r w:rsidRPr="79DD7CC6" w:rsidR="00B36675">
        <w:rPr>
          <w:rFonts w:ascii="Garamond" w:hAnsi="Garamond" w:eastAsia="Garamond" w:cs="Garamond"/>
          <w:sz w:val="24"/>
          <w:szCs w:val="24"/>
          <w:lang w:val="en-US"/>
        </w:rPr>
        <w:t>selection</w:t>
      </w:r>
      <w:r w:rsidRPr="79DD7CC6" w:rsidR="00B36675">
        <w:rPr>
          <w:rFonts w:ascii="Garamond" w:hAnsi="Garamond" w:eastAsia="Garamond" w:cs="Garamond"/>
          <w:sz w:val="24"/>
          <w:szCs w:val="24"/>
          <w:lang w:val="en-US"/>
        </w:rPr>
        <w:t xml:space="preserve">, uncertainty handling, or analytical assumptions. Geospatial analyses, modeling workflows, and indicator construction are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treated as black boxes, making it difficult for external reviewers, policymakers, or allied organizations to </w:t>
      </w:r>
      <w:r w:rsidRPr="79DD7CC6" w:rsidR="00B36675">
        <w:rPr>
          <w:rFonts w:ascii="Garamond" w:hAnsi="Garamond" w:eastAsia="Garamond" w:cs="Garamond"/>
          <w:sz w:val="24"/>
          <w:szCs w:val="24"/>
          <w:lang w:val="en-US"/>
        </w:rPr>
        <w:t>independently verify results.</w:t>
      </w:r>
    </w:p>
    <w:p w:rsidR="00F55819" w:rsidP="79DD7CC6" w:rsidRDefault="00B36675" w14:paraId="0000003D"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This lack of reproducibility has direct consequences. Data that cannot be replicated or audited are more easily dismissed in policy and regulatory settings, regardless of their relevance or accuracy. For environmental justice organizations </w:t>
      </w:r>
      <w:r w:rsidRPr="79DD7CC6" w:rsidR="00B36675">
        <w:rPr>
          <w:rFonts w:ascii="Garamond" w:hAnsi="Garamond" w:eastAsia="Garamond" w:cs="Garamond"/>
          <w:sz w:val="24"/>
          <w:szCs w:val="24"/>
          <w:lang w:val="en-US"/>
        </w:rPr>
        <w:t>seeking</w:t>
      </w:r>
      <w:r w:rsidRPr="79DD7CC6" w:rsidR="00B36675">
        <w:rPr>
          <w:rFonts w:ascii="Garamond" w:hAnsi="Garamond" w:eastAsia="Garamond" w:cs="Garamond"/>
          <w:sz w:val="24"/>
          <w:szCs w:val="24"/>
          <w:lang w:val="en-US"/>
        </w:rPr>
        <w:t xml:space="preserve"> to advance policy change or secure resources for community health interventions, methodological opacity can undermine the legitimacy of otherwise well-founded claims. Conversely, </w:t>
      </w:r>
      <w:r w:rsidRPr="79DD7CC6" w:rsidR="00B36675">
        <w:rPr>
          <w:rFonts w:ascii="Garamond" w:hAnsi="Garamond" w:eastAsia="Garamond" w:cs="Garamond"/>
          <w:sz w:val="24"/>
          <w:szCs w:val="24"/>
          <w:lang w:val="en-US"/>
        </w:rPr>
        <w:t>transparent</w:t>
      </w:r>
      <w:r w:rsidRPr="79DD7CC6" w:rsidR="00B36675">
        <w:rPr>
          <w:rFonts w:ascii="Garamond" w:hAnsi="Garamond" w:eastAsia="Garamond" w:cs="Garamond"/>
          <w:sz w:val="24"/>
          <w:szCs w:val="24"/>
          <w:lang w:val="en-US"/>
        </w:rPr>
        <w:t xml:space="preserve"> and reproducible workflows strengthen the standing of community-engaged r</w:t>
      </w:r>
      <w:r w:rsidRPr="79DD7CC6" w:rsidR="00B36675">
        <w:rPr>
          <w:rFonts w:ascii="Garamond" w:hAnsi="Garamond" w:eastAsia="Garamond" w:cs="Garamond"/>
          <w:sz w:val="24"/>
          <w:szCs w:val="24"/>
          <w:lang w:val="en-US"/>
        </w:rPr>
        <w:t xml:space="preserve">esearch by allowing results to be scrutinized, </w:t>
      </w:r>
      <w:r w:rsidRPr="79DD7CC6" w:rsidR="00B36675">
        <w:rPr>
          <w:rFonts w:ascii="Garamond" w:hAnsi="Garamond" w:eastAsia="Garamond" w:cs="Garamond"/>
          <w:sz w:val="24"/>
          <w:szCs w:val="24"/>
          <w:lang w:val="en-US"/>
        </w:rPr>
        <w:t>validated</w:t>
      </w:r>
      <w:r w:rsidRPr="79DD7CC6" w:rsidR="00B36675">
        <w:rPr>
          <w:rFonts w:ascii="Garamond" w:hAnsi="Garamond" w:eastAsia="Garamond" w:cs="Garamond"/>
          <w:sz w:val="24"/>
          <w:szCs w:val="24"/>
          <w:lang w:val="en-US"/>
        </w:rPr>
        <w:t>, and reused across contexts.</w:t>
      </w:r>
    </w:p>
    <w:p w:rsidR="00F55819" w:rsidP="79DD7CC6" w:rsidRDefault="00B36675" w14:paraId="0000003E"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The literature also highlights capacity constraints as a central driver of these gaps. Community organizations rarely have the time or resources to implement formal reproducibility practices such as version control, scripted analyses, or documented computational environments. In the absence of targeted support, reproducibility is treated as an academic standard rather than a practical tool for advancing community priorities.</w:t>
      </w:r>
    </w:p>
    <w:p w:rsidR="00F55819" w:rsidP="79DD7CC6" w:rsidRDefault="00B36675" w14:paraId="0000003F"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AGEJLE-OS relevance</w:t>
      </w:r>
    </w:p>
    <w:p w:rsidR="00F55819" w:rsidP="79DD7CC6" w:rsidRDefault="00B36675" w14:paraId="00000040"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AGEJLE-OS addresses this gap by positioning reproducibility and analytical transparency as enabling conditions for community-engaged research, not as abstract scientific ideals. By introducing accessible workflows for documenting methods, tracking analytical changes, and producing reproducible outputs, the project strengthens the credibility of community-generated evidence. This emphasis directly supports the use of environmental data in policy advocacy and planning, where transparent and defensible analysi</w:t>
      </w:r>
      <w:r w:rsidRPr="79DD7CC6" w:rsidR="00B36675">
        <w:rPr>
          <w:rFonts w:ascii="Garamond" w:hAnsi="Garamond" w:eastAsia="Garamond" w:cs="Garamond"/>
          <w:sz w:val="24"/>
          <w:szCs w:val="24"/>
          <w:lang w:val="en-US"/>
        </w:rPr>
        <w:t xml:space="preserve">s is essential for advancing healthier and more </w:t>
      </w:r>
      <w:r w:rsidRPr="79DD7CC6" w:rsidR="00B36675">
        <w:rPr>
          <w:rFonts w:ascii="Garamond" w:hAnsi="Garamond" w:eastAsia="Garamond" w:cs="Garamond"/>
          <w:sz w:val="24"/>
          <w:szCs w:val="24"/>
          <w:lang w:val="en-US"/>
        </w:rPr>
        <w:t>equitable</w:t>
      </w:r>
      <w:r w:rsidRPr="79DD7CC6" w:rsidR="00B36675">
        <w:rPr>
          <w:rFonts w:ascii="Garamond" w:hAnsi="Garamond" w:eastAsia="Garamond" w:cs="Garamond"/>
          <w:sz w:val="24"/>
          <w:szCs w:val="24"/>
          <w:lang w:val="en-US"/>
        </w:rPr>
        <w:t xml:space="preserve"> communities.</w:t>
      </w:r>
    </w:p>
    <w:p w:rsidR="00F55819" w:rsidP="79DD7CC6" w:rsidRDefault="00B36675" w14:paraId="00000041" w14:textId="77777777">
      <w:pPr>
        <w:spacing w:before="240" w:after="240"/>
        <w:rPr>
          <w:rFonts w:ascii="Garamond" w:hAnsi="Garamond" w:eastAsia="Garamond" w:cs="Garamond"/>
          <w:b w:val="1"/>
          <w:bCs w:val="1"/>
          <w:sz w:val="24"/>
          <w:szCs w:val="24"/>
        </w:rPr>
      </w:pPr>
      <w:r w:rsidRPr="79DD7CC6" w:rsidR="00B36675">
        <w:rPr>
          <w:rFonts w:ascii="Garamond" w:hAnsi="Garamond" w:eastAsia="Garamond" w:cs="Garamond"/>
          <w:b w:val="1"/>
          <w:bCs w:val="1"/>
          <w:sz w:val="24"/>
          <w:szCs w:val="24"/>
        </w:rPr>
        <w:t>5. From Evidence to Action: Communication, Reuse, and Decision Support</w:t>
      </w:r>
    </w:p>
    <w:p w:rsidR="00F55819" w:rsidP="79DD7CC6" w:rsidRDefault="00B36675" w14:paraId="00000042"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A persistent gap in the Gulf South environmental justice literature lies in the translation of research evidence into sustained action. While many studies generate compelling findings, far fewer produce outputs that are durable, reusable, or readily incorporated into policy, planning, or community decision-making processes. As a result, environmental justice research often </w:t>
      </w:r>
      <w:r w:rsidRPr="79DD7CC6" w:rsidR="00B36675">
        <w:rPr>
          <w:rFonts w:ascii="Garamond" w:hAnsi="Garamond" w:eastAsia="Garamond" w:cs="Garamond"/>
          <w:sz w:val="24"/>
          <w:szCs w:val="24"/>
          <w:lang w:val="en-US"/>
        </w:rPr>
        <w:t>remains</w:t>
      </w:r>
      <w:r w:rsidRPr="79DD7CC6" w:rsidR="00B36675">
        <w:rPr>
          <w:rFonts w:ascii="Garamond" w:hAnsi="Garamond" w:eastAsia="Garamond" w:cs="Garamond"/>
          <w:sz w:val="24"/>
          <w:szCs w:val="24"/>
          <w:lang w:val="en-US"/>
        </w:rPr>
        <w:t xml:space="preserve"> episodic, tied to specific grants, events, or advocacy moments, rather than cumulative and actionable over time.</w:t>
      </w:r>
    </w:p>
    <w:p w:rsidR="00F55819" w:rsidP="79DD7CC6" w:rsidRDefault="00B36675" w14:paraId="00000043"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The literature shows that research products are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w:t>
      </w:r>
      <w:r w:rsidRPr="79DD7CC6" w:rsidR="00B36675">
        <w:rPr>
          <w:rFonts w:ascii="Garamond" w:hAnsi="Garamond" w:eastAsia="Garamond" w:cs="Garamond"/>
          <w:sz w:val="24"/>
          <w:szCs w:val="24"/>
          <w:lang w:val="en-US"/>
        </w:rPr>
        <w:t>optimized</w:t>
      </w:r>
      <w:r w:rsidRPr="79DD7CC6" w:rsidR="00B36675">
        <w:rPr>
          <w:rFonts w:ascii="Garamond" w:hAnsi="Garamond" w:eastAsia="Garamond" w:cs="Garamond"/>
          <w:sz w:val="24"/>
          <w:szCs w:val="24"/>
          <w:lang w:val="en-US"/>
        </w:rPr>
        <w:t xml:space="preserve"> for academic dissemination rather than community or policy use. Findings are reported in journal articles, technical reports, or static maps that are difficult to update, adapt, or reuse as conditions change. Even when results are publicly available, they are rarely packaged with sufficient documentation, metadata, or contextual explanation to support reuse by community organizations, local governments, or allied researchers.</w:t>
      </w:r>
    </w:p>
    <w:p w:rsidR="00F55819" w:rsidP="79DD7CC6" w:rsidRDefault="00B36675" w14:paraId="00000044"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This disconnect is especially consequential in environmental justice contexts, where policy change often requires sustained engagement across regulatory cycles, public hearings, and legal processes. Evidence that cannot be easily cited, updated, or reinterpreted loses strategic value. Community organizations are then forced to repeatedly regenerate analyses, recreating data products that already exist but are not accessible in reusable form. This cycle imposes unnecessary burdens on organizations with limit</w:t>
      </w:r>
      <w:r w:rsidRPr="79DD7CC6" w:rsidR="00B36675">
        <w:rPr>
          <w:rFonts w:ascii="Garamond" w:hAnsi="Garamond" w:eastAsia="Garamond" w:cs="Garamond"/>
          <w:sz w:val="24"/>
          <w:szCs w:val="24"/>
        </w:rPr>
        <w:t>ed resources and weakens continuity in advocacy and planning.</w:t>
      </w:r>
    </w:p>
    <w:p w:rsidR="00F55819" w:rsidP="79DD7CC6" w:rsidRDefault="00B36675" w14:paraId="00000045"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The literature also highlights communication challenges. Effective decision support requires translating complex environmental data into formats that resonate with diverse audiences, including residents, policymakers, and technical reviewers. However, few studies document intentional strategies for producing layered outputs—such as technical documentation paired with accessible summaries, visualizations, or briefing materials—that support multiple uses without sacrificing rigor.</w:t>
      </w:r>
    </w:p>
    <w:p w:rsidR="00F55819" w:rsidP="79DD7CC6" w:rsidRDefault="00B36675" w14:paraId="00000046"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Where reuse is discussed, it is most often framed informally, relying on personal networks or institutional memory rather than structured dissemination mechanisms. The absence of persistent identifiers, versioned outputs, and open repositories limits the longevity and credibility of community-engaged research products, even when the underlying work is robust.</w:t>
      </w:r>
    </w:p>
    <w:p w:rsidR="00F55819" w:rsidP="79DD7CC6" w:rsidRDefault="00B36675" w14:paraId="00000047"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AGEJLE-OS relevance</w:t>
      </w:r>
    </w:p>
    <w:p w:rsidR="00F55819" w:rsidP="79DD7CC6" w:rsidRDefault="00B36675" w14:paraId="00000048"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AGEJLE-OS directly addresses the evidence-to-action gap by emphasizing the production of open, citable, and reusable research outputs. By supporting dissemination through open repositories, encouraging clear documentation, and promoting products designed for multiple audiences, the project strengthens the ability of community-engaged research to inform policy, planning, and advocacy over time. This focus ensures that environmental justice evidence generated in the Gulf South can persist beyond individual pr</w:t>
      </w:r>
      <w:r w:rsidRPr="79DD7CC6" w:rsidR="00B36675">
        <w:rPr>
          <w:rFonts w:ascii="Garamond" w:hAnsi="Garamond" w:eastAsia="Garamond" w:cs="Garamond"/>
          <w:sz w:val="24"/>
          <w:szCs w:val="24"/>
        </w:rPr>
        <w:t>ojects and contribute meaningfully to healthier, more resilient communities.</w:t>
      </w:r>
    </w:p>
    <w:p w:rsidR="00F55819" w:rsidP="79DD7CC6" w:rsidRDefault="00B36675" w14:paraId="00000049" w14:textId="77777777">
      <w:pPr>
        <w:pStyle w:val="Heading2"/>
        <w:keepNext w:val="0"/>
        <w:keepLines w:val="0"/>
        <w:spacing w:after="80"/>
        <w:rPr>
          <w:rFonts w:ascii="Garamond" w:hAnsi="Garamond" w:eastAsia="Garamond" w:cs="Garamond"/>
          <w:b w:val="1"/>
          <w:bCs w:val="1"/>
          <w:sz w:val="24"/>
          <w:szCs w:val="24"/>
        </w:rPr>
      </w:pPr>
      <w:bookmarkStart w:name="_68ecdouz1v44" w:id="3"/>
      <w:bookmarkEnd w:id="3"/>
      <w:r w:rsidRPr="79DD7CC6" w:rsidR="00B36675">
        <w:rPr>
          <w:rFonts w:ascii="Garamond" w:hAnsi="Garamond" w:eastAsia="Garamond" w:cs="Garamond"/>
          <w:b w:val="1"/>
          <w:bCs w:val="1"/>
          <w:sz w:val="24"/>
          <w:szCs w:val="24"/>
        </w:rPr>
        <w:t>Conclusion: Significant Issues and Capacity Gaps in Open Science and Community-Engaged Environmental Research in the Gulf South</w:t>
      </w:r>
    </w:p>
    <w:p w:rsidR="00F55819" w:rsidP="79DD7CC6" w:rsidRDefault="00B36675" w14:paraId="0000004A"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This literature scan confirms that the Gulf South occupies a paradoxical position in environmental justice scholarship and practice. The region is both foundational to the Environmental Justice Movement and persistently underrepresented in open, replicable, and community-engaged environmental research that meets contemporary standards of transparency and scientific validity. While decades of activist scholarship, participatory research, and policy engagement have generated a rich body of place-based knowled</w:t>
      </w:r>
      <w:r w:rsidRPr="79DD7CC6" w:rsidR="00B36675">
        <w:rPr>
          <w:rFonts w:ascii="Garamond" w:hAnsi="Garamond" w:eastAsia="Garamond" w:cs="Garamond"/>
          <w:sz w:val="24"/>
          <w:szCs w:val="24"/>
          <w:lang w:val="en-US"/>
        </w:rPr>
        <w:t xml:space="preserve">ge, persistent gaps </w:t>
      </w:r>
      <w:r w:rsidRPr="79DD7CC6" w:rsidR="00B36675">
        <w:rPr>
          <w:rFonts w:ascii="Garamond" w:hAnsi="Garamond" w:eastAsia="Garamond" w:cs="Garamond"/>
          <w:sz w:val="24"/>
          <w:szCs w:val="24"/>
          <w:lang w:val="en-US"/>
        </w:rPr>
        <w:t>remain</w:t>
      </w:r>
      <w:r w:rsidRPr="79DD7CC6" w:rsidR="00B36675">
        <w:rPr>
          <w:rFonts w:ascii="Garamond" w:hAnsi="Garamond" w:eastAsia="Garamond" w:cs="Garamond"/>
          <w:sz w:val="24"/>
          <w:szCs w:val="24"/>
          <w:lang w:val="en-US"/>
        </w:rPr>
        <w:t xml:space="preserve"> in access to usable data, analytical tools, and open science infrastructure that can translate community evidence into sustained policy impact.</w:t>
      </w:r>
    </w:p>
    <w:p w:rsidR="00F55819" w:rsidP="79DD7CC6" w:rsidRDefault="00B36675" w14:paraId="0000004B"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The reviewed literature and prior landscape analysis converge on several structural constraints. First, EJ-relevant data are </w:t>
      </w:r>
      <w:r w:rsidRPr="79DD7CC6" w:rsidR="00B36675">
        <w:rPr>
          <w:rFonts w:ascii="Garamond" w:hAnsi="Garamond" w:eastAsia="Garamond" w:cs="Garamond"/>
          <w:sz w:val="24"/>
          <w:szCs w:val="24"/>
          <w:lang w:val="en-US"/>
        </w:rPr>
        <w:t>frequently</w:t>
      </w:r>
      <w:r w:rsidRPr="79DD7CC6" w:rsidR="00B36675">
        <w:rPr>
          <w:rFonts w:ascii="Garamond" w:hAnsi="Garamond" w:eastAsia="Garamond" w:cs="Garamond"/>
          <w:sz w:val="24"/>
          <w:szCs w:val="24"/>
          <w:lang w:val="en-US"/>
        </w:rPr>
        <w:t xml:space="preserve"> misaligned with the spatial and temporal scales </w:t>
      </w:r>
      <w:r w:rsidRPr="79DD7CC6" w:rsidR="00B36675">
        <w:rPr>
          <w:rFonts w:ascii="Garamond" w:hAnsi="Garamond" w:eastAsia="Garamond" w:cs="Garamond"/>
          <w:sz w:val="24"/>
          <w:szCs w:val="24"/>
          <w:lang w:val="en-US"/>
        </w:rPr>
        <w:t>required</w:t>
      </w:r>
      <w:r w:rsidRPr="79DD7CC6" w:rsidR="00B36675">
        <w:rPr>
          <w:rFonts w:ascii="Garamond" w:hAnsi="Garamond" w:eastAsia="Garamond" w:cs="Garamond"/>
          <w:sz w:val="24"/>
          <w:szCs w:val="24"/>
          <w:lang w:val="en-US"/>
        </w:rPr>
        <w:t xml:space="preserve"> for neighborhood-level decision-making. Second, community-engaged research outputs are often challenged on methodological grounds due to insufficient documentation, limited reproducibility, or lack of recognized data standards. Third, the burden of navigating complex federal data systems and open science requirements </w:t>
      </w:r>
      <w:r w:rsidRPr="79DD7CC6" w:rsidR="00B36675">
        <w:rPr>
          <w:rFonts w:ascii="Garamond" w:hAnsi="Garamond" w:eastAsia="Garamond" w:cs="Garamond"/>
          <w:sz w:val="24"/>
          <w:szCs w:val="24"/>
          <w:lang w:val="en-US"/>
        </w:rPr>
        <w:t>falls disproportionately on under-resourced community organizations, reinforcing existing inequities in who can produce “credible” evidence.</w:t>
      </w:r>
    </w:p>
    <w:p w:rsidR="00F55819" w:rsidP="79DD7CC6" w:rsidRDefault="00B36675" w14:paraId="0000004C"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At the same time, the analysis </w:t>
      </w:r>
      <w:r w:rsidRPr="79DD7CC6" w:rsidR="00B36675">
        <w:rPr>
          <w:rFonts w:ascii="Garamond" w:hAnsi="Garamond" w:eastAsia="Garamond" w:cs="Garamond"/>
          <w:sz w:val="24"/>
          <w:szCs w:val="24"/>
          <w:lang w:val="en-US"/>
        </w:rPr>
        <w:t>identifies</w:t>
      </w:r>
      <w:r w:rsidRPr="79DD7CC6" w:rsidR="00B36675">
        <w:rPr>
          <w:rFonts w:ascii="Garamond" w:hAnsi="Garamond" w:eastAsia="Garamond" w:cs="Garamond"/>
          <w:sz w:val="24"/>
          <w:szCs w:val="24"/>
          <w:lang w:val="en-US"/>
        </w:rPr>
        <w:t xml:space="preserve"> clear opportunities. NASA Earth science data, open platforms, and applied science programs offer underutilized potential to strengthen community-led research, provided they are paired with intentional capacity development, </w:t>
      </w:r>
      <w:r w:rsidRPr="79DD7CC6" w:rsidR="00B36675">
        <w:rPr>
          <w:rFonts w:ascii="Garamond" w:hAnsi="Garamond" w:eastAsia="Garamond" w:cs="Garamond"/>
          <w:sz w:val="24"/>
          <w:szCs w:val="24"/>
          <w:lang w:val="en-US"/>
        </w:rPr>
        <w:t>equitable</w:t>
      </w:r>
      <w:r w:rsidRPr="79DD7CC6" w:rsidR="00B36675">
        <w:rPr>
          <w:rFonts w:ascii="Garamond" w:hAnsi="Garamond" w:eastAsia="Garamond" w:cs="Garamond"/>
          <w:sz w:val="24"/>
          <w:szCs w:val="24"/>
          <w:lang w:val="en-US"/>
        </w:rPr>
        <w:t xml:space="preserve"> governance models, and workflows aligned with Environmental Justice principles. The Communiversity model and related participatory approaches </w:t>
      </w:r>
      <w:r w:rsidRPr="79DD7CC6" w:rsidR="00B36675">
        <w:rPr>
          <w:rFonts w:ascii="Garamond" w:hAnsi="Garamond" w:eastAsia="Garamond" w:cs="Garamond"/>
          <w:sz w:val="24"/>
          <w:szCs w:val="24"/>
          <w:lang w:val="en-US"/>
        </w:rPr>
        <w:t>demonstrate</w:t>
      </w:r>
      <w:r w:rsidRPr="79DD7CC6" w:rsidR="00B36675">
        <w:rPr>
          <w:rFonts w:ascii="Garamond" w:hAnsi="Garamond" w:eastAsia="Garamond" w:cs="Garamond"/>
          <w:sz w:val="24"/>
          <w:szCs w:val="24"/>
          <w:lang w:val="en-US"/>
        </w:rPr>
        <w:t xml:space="preserve"> that rigor and community leadership are not competing goals, but achieving this int</w:t>
      </w:r>
      <w:r w:rsidRPr="79DD7CC6" w:rsidR="00B36675">
        <w:rPr>
          <w:rFonts w:ascii="Garamond" w:hAnsi="Garamond" w:eastAsia="Garamond" w:cs="Garamond"/>
          <w:sz w:val="24"/>
          <w:szCs w:val="24"/>
          <w:lang w:val="en-US"/>
        </w:rPr>
        <w:t>egration requires deliberate investment in open science competencies, trusted intermediaries, and sustained institutional support.</w:t>
      </w:r>
    </w:p>
    <w:p w:rsidR="00F55819" w:rsidP="79DD7CC6" w:rsidRDefault="00B36675" w14:paraId="0000004D"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Within this context, AGEJLE-OS responds directly to </w:t>
      </w:r>
      <w:r w:rsidRPr="79DD7CC6" w:rsidR="00B36675">
        <w:rPr>
          <w:rFonts w:ascii="Garamond" w:hAnsi="Garamond" w:eastAsia="Garamond" w:cs="Garamond"/>
          <w:sz w:val="24"/>
          <w:szCs w:val="24"/>
          <w:lang w:val="en-US"/>
        </w:rPr>
        <w:t>identified</w:t>
      </w:r>
      <w:r w:rsidRPr="79DD7CC6" w:rsidR="00B36675">
        <w:rPr>
          <w:rFonts w:ascii="Garamond" w:hAnsi="Garamond" w:eastAsia="Garamond" w:cs="Garamond"/>
          <w:sz w:val="24"/>
          <w:szCs w:val="24"/>
          <w:lang w:val="en-US"/>
        </w:rPr>
        <w:t xml:space="preserve"> capacity gaps by operationalizing open science for environmental justice organizations in the Gulf South. By linking access to NASA Earth data with practical training, reproducible workflows, and community-driven research agendas, the initiative advances a form of open science that is credible, contestable, and policy-relevant. This alignment between open science practice and environmental justice principles is essential not only for validating </w:t>
      </w:r>
      <w:r w:rsidRPr="79DD7CC6" w:rsidR="00B36675">
        <w:rPr>
          <w:rFonts w:ascii="Garamond" w:hAnsi="Garamond" w:eastAsia="Garamond" w:cs="Garamond"/>
          <w:sz w:val="24"/>
          <w:szCs w:val="24"/>
          <w:lang w:val="en-US"/>
        </w:rPr>
        <w:t>community-engaged research, but for enabling that research to inform planning, regulation, and long-term community wellbeing.</w:t>
      </w:r>
    </w:p>
    <w:p w:rsidR="00F55819" w:rsidP="79DD7CC6" w:rsidRDefault="00B36675" w14:paraId="0000004E" w14:textId="77777777">
      <w:pPr>
        <w:pStyle w:val="Heading2"/>
        <w:keepNext w:val="0"/>
        <w:keepLines w:val="0"/>
        <w:spacing w:after="80"/>
        <w:rPr>
          <w:rFonts w:ascii="Garamond" w:hAnsi="Garamond" w:eastAsia="Garamond" w:cs="Garamond"/>
          <w:b w:val="1"/>
          <w:bCs w:val="1"/>
          <w:sz w:val="24"/>
          <w:szCs w:val="24"/>
        </w:rPr>
      </w:pPr>
      <w:bookmarkStart w:name="_cl5qh8fzbf7q" w:id="4"/>
      <w:bookmarkEnd w:id="4"/>
      <w:r w:rsidRPr="79DD7CC6" w:rsidR="00B36675">
        <w:rPr>
          <w:rFonts w:ascii="Garamond" w:hAnsi="Garamond" w:eastAsia="Garamond" w:cs="Garamond"/>
          <w:b w:val="1"/>
          <w:bCs w:val="1"/>
          <w:sz w:val="24"/>
          <w:szCs w:val="24"/>
        </w:rPr>
        <w:t>References Consulted</w:t>
      </w:r>
    </w:p>
    <w:p w:rsidR="00F55819" w:rsidP="79DD7CC6" w:rsidRDefault="00B36675" w14:paraId="0000004F"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Adeola, F. O. (2018). </w:t>
      </w:r>
      <w:r w:rsidRPr="79DD7CC6" w:rsidR="00B36675">
        <w:rPr>
          <w:rFonts w:ascii="Garamond" w:hAnsi="Garamond" w:eastAsia="Garamond" w:cs="Garamond"/>
          <w:i w:val="1"/>
          <w:iCs w:val="1"/>
          <w:sz w:val="24"/>
          <w:szCs w:val="24"/>
        </w:rPr>
        <w:t>Hazards, Health, and Environmental Justice: Integrating Science, Social Science, and Law</w:t>
      </w:r>
      <w:r w:rsidRPr="79DD7CC6" w:rsidR="00B36675">
        <w:rPr>
          <w:rFonts w:ascii="Garamond" w:hAnsi="Garamond" w:eastAsia="Garamond" w:cs="Garamond"/>
          <w:sz w:val="24"/>
          <w:szCs w:val="24"/>
        </w:rPr>
        <w:t>. Routledge.</w:t>
      </w:r>
    </w:p>
    <w:p w:rsidR="00F55819" w:rsidP="79DD7CC6" w:rsidRDefault="00B36675" w14:paraId="00000050"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Balbus, J. M., Crimmins, A., Gamble, J. L., et al. (2016). </w:t>
      </w:r>
      <w:r w:rsidRPr="79DD7CC6" w:rsidR="00B36675">
        <w:rPr>
          <w:rFonts w:ascii="Garamond" w:hAnsi="Garamond" w:eastAsia="Garamond" w:cs="Garamond"/>
          <w:i w:val="1"/>
          <w:iCs w:val="1"/>
          <w:sz w:val="24"/>
          <w:szCs w:val="24"/>
        </w:rPr>
        <w:t>The Impacts of Climate Change on Human Health in the United States: A Scientific Assessment</w:t>
      </w:r>
      <w:r w:rsidRPr="79DD7CC6" w:rsidR="00B36675">
        <w:rPr>
          <w:rFonts w:ascii="Garamond" w:hAnsi="Garamond" w:eastAsia="Garamond" w:cs="Garamond"/>
          <w:sz w:val="24"/>
          <w:szCs w:val="24"/>
        </w:rPr>
        <w:t>. U.S. Global Change Research Program.</w:t>
      </w:r>
    </w:p>
    <w:p w:rsidR="00F55819" w:rsidP="79DD7CC6" w:rsidRDefault="00B36675" w14:paraId="00000051"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Banzhaf, S., Ma, L., &amp; Timmins, C. (2019). Environmental justice: The economics of race, place, and pollution. </w:t>
      </w:r>
      <w:r w:rsidRPr="79DD7CC6" w:rsidR="00B36675">
        <w:rPr>
          <w:rFonts w:ascii="Garamond" w:hAnsi="Garamond" w:eastAsia="Garamond" w:cs="Garamond"/>
          <w:i w:val="1"/>
          <w:iCs w:val="1"/>
          <w:sz w:val="24"/>
          <w:szCs w:val="24"/>
        </w:rPr>
        <w:t>Journal of Economic Perspectives</w:t>
      </w:r>
      <w:r w:rsidRPr="79DD7CC6" w:rsidR="00B36675">
        <w:rPr>
          <w:rFonts w:ascii="Garamond" w:hAnsi="Garamond" w:eastAsia="Garamond" w:cs="Garamond"/>
          <w:sz w:val="24"/>
          <w:szCs w:val="24"/>
        </w:rPr>
        <w:t>, 33(1), 185–208.</w:t>
      </w:r>
    </w:p>
    <w:p w:rsidR="00F55819" w:rsidP="79DD7CC6" w:rsidRDefault="00B36675" w14:paraId="00000052"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Baptista, A., &amp; Perovich, A. (2020). </w:t>
      </w:r>
      <w:r w:rsidRPr="79DD7CC6" w:rsidR="00B36675">
        <w:rPr>
          <w:rFonts w:ascii="Garamond" w:hAnsi="Garamond" w:eastAsia="Garamond" w:cs="Garamond"/>
          <w:i w:val="1"/>
          <w:iCs w:val="1"/>
          <w:sz w:val="24"/>
          <w:szCs w:val="24"/>
        </w:rPr>
        <w:t>U.S. Philanthropy and Climate Change Mitigation</w:t>
      </w:r>
      <w:r w:rsidRPr="79DD7CC6" w:rsidR="00B36675">
        <w:rPr>
          <w:rFonts w:ascii="Garamond" w:hAnsi="Garamond" w:eastAsia="Garamond" w:cs="Garamond"/>
          <w:sz w:val="24"/>
          <w:szCs w:val="24"/>
        </w:rPr>
        <w:t>. Tishman Environment and Design Center.</w:t>
      </w:r>
    </w:p>
    <w:p w:rsidR="00F55819" w:rsidP="79DD7CC6" w:rsidRDefault="00B36675" w14:paraId="00000053"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Bowen, W., &amp; Wells, M. (2002). The politics and reality of environmental justice. </w:t>
      </w:r>
      <w:r w:rsidRPr="79DD7CC6" w:rsidR="00B36675">
        <w:rPr>
          <w:rFonts w:ascii="Garamond" w:hAnsi="Garamond" w:eastAsia="Garamond" w:cs="Garamond"/>
          <w:i w:val="1"/>
          <w:iCs w:val="1"/>
          <w:sz w:val="24"/>
          <w:szCs w:val="24"/>
        </w:rPr>
        <w:t>Environmental Management</w:t>
      </w:r>
      <w:r w:rsidRPr="79DD7CC6" w:rsidR="00B36675">
        <w:rPr>
          <w:rFonts w:ascii="Garamond" w:hAnsi="Garamond" w:eastAsia="Garamond" w:cs="Garamond"/>
          <w:sz w:val="24"/>
          <w:szCs w:val="24"/>
        </w:rPr>
        <w:t>, 29(1), 3–20.</w:t>
      </w:r>
    </w:p>
    <w:p w:rsidR="00F55819" w:rsidP="79DD7CC6" w:rsidRDefault="00B36675" w14:paraId="00000054"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Bullard, R. D. (1983). </w:t>
      </w:r>
      <w:r w:rsidRPr="79DD7CC6" w:rsidR="00B36675">
        <w:rPr>
          <w:rFonts w:ascii="Garamond" w:hAnsi="Garamond" w:eastAsia="Garamond" w:cs="Garamond"/>
          <w:i w:val="1"/>
          <w:iCs w:val="1"/>
          <w:sz w:val="24"/>
          <w:szCs w:val="24"/>
        </w:rPr>
        <w:t>Solid Waste Sites and the Black Houston Community</w:t>
      </w:r>
      <w:r w:rsidRPr="79DD7CC6" w:rsidR="00B36675">
        <w:rPr>
          <w:rFonts w:ascii="Garamond" w:hAnsi="Garamond" w:eastAsia="Garamond" w:cs="Garamond"/>
          <w:sz w:val="24"/>
          <w:szCs w:val="24"/>
        </w:rPr>
        <w:t>. Garland Press.</w:t>
      </w:r>
    </w:p>
    <w:p w:rsidR="00F55819" w:rsidP="79DD7CC6" w:rsidRDefault="00B36675" w14:paraId="00000055"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Bullard, R. D. (1990). </w:t>
      </w:r>
      <w:r w:rsidRPr="79DD7CC6" w:rsidR="00B36675">
        <w:rPr>
          <w:rFonts w:ascii="Garamond" w:hAnsi="Garamond" w:eastAsia="Garamond" w:cs="Garamond"/>
          <w:i w:val="1"/>
          <w:iCs w:val="1"/>
          <w:sz w:val="24"/>
          <w:szCs w:val="24"/>
        </w:rPr>
        <w:t>Dumping in Dixie: Race, Class, and Environmental Quality</w:t>
      </w:r>
      <w:r w:rsidRPr="79DD7CC6" w:rsidR="00B36675">
        <w:rPr>
          <w:rFonts w:ascii="Garamond" w:hAnsi="Garamond" w:eastAsia="Garamond" w:cs="Garamond"/>
          <w:sz w:val="24"/>
          <w:szCs w:val="24"/>
        </w:rPr>
        <w:t>. Westview Press.</w:t>
      </w:r>
    </w:p>
    <w:p w:rsidR="00F55819" w:rsidP="79DD7CC6" w:rsidRDefault="00B36675" w14:paraId="00000056"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Bullard, R. D., &amp; Wright, B. (1993). Environmentalism and the politics of equity. </w:t>
      </w:r>
      <w:r w:rsidRPr="79DD7CC6" w:rsidR="00B36675">
        <w:rPr>
          <w:rFonts w:ascii="Garamond" w:hAnsi="Garamond" w:eastAsia="Garamond" w:cs="Garamond"/>
          <w:i w:val="1"/>
          <w:iCs w:val="1"/>
          <w:sz w:val="24"/>
          <w:szCs w:val="24"/>
        </w:rPr>
        <w:t>Social Justice</w:t>
      </w:r>
      <w:r w:rsidRPr="79DD7CC6" w:rsidR="00B36675">
        <w:rPr>
          <w:rFonts w:ascii="Garamond" w:hAnsi="Garamond" w:eastAsia="Garamond" w:cs="Garamond"/>
          <w:sz w:val="24"/>
          <w:szCs w:val="24"/>
        </w:rPr>
        <w:t>, 20(1–2), 3–19.</w:t>
      </w:r>
    </w:p>
    <w:p w:rsidR="00F55819" w:rsidP="79DD7CC6" w:rsidRDefault="00B36675" w14:paraId="00000057"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Bullard, R. D., &amp; Wright, B. (2012). </w:t>
      </w:r>
      <w:r w:rsidRPr="79DD7CC6" w:rsidR="00B36675">
        <w:rPr>
          <w:rFonts w:ascii="Garamond" w:hAnsi="Garamond" w:eastAsia="Garamond" w:cs="Garamond"/>
          <w:i w:val="1"/>
          <w:iCs w:val="1"/>
          <w:sz w:val="24"/>
          <w:szCs w:val="24"/>
        </w:rPr>
        <w:t>The Wrong Complexion for Protection: How the Government Response to Disaster Endangers African American Communities</w:t>
      </w:r>
      <w:r w:rsidRPr="79DD7CC6" w:rsidR="00B36675">
        <w:rPr>
          <w:rFonts w:ascii="Garamond" w:hAnsi="Garamond" w:eastAsia="Garamond" w:cs="Garamond"/>
          <w:sz w:val="24"/>
          <w:szCs w:val="24"/>
        </w:rPr>
        <w:t>. NYU Press.</w:t>
      </w:r>
    </w:p>
    <w:p w:rsidR="00F55819" w:rsidP="79DD7CC6" w:rsidRDefault="00B36675" w14:paraId="00000058"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Camelo, J., Mayo, T., &amp; Gutmann, E. (2020). Projected climate change </w:t>
      </w:r>
      <w:r w:rsidRPr="79DD7CC6" w:rsidR="00B36675">
        <w:rPr>
          <w:rFonts w:ascii="Garamond" w:hAnsi="Garamond" w:eastAsia="Garamond" w:cs="Garamond"/>
          <w:sz w:val="24"/>
          <w:szCs w:val="24"/>
          <w:lang w:val="en-US"/>
        </w:rPr>
        <w:t>impacts on</w:t>
      </w:r>
      <w:r w:rsidRPr="79DD7CC6" w:rsidR="00B36675">
        <w:rPr>
          <w:rFonts w:ascii="Garamond" w:hAnsi="Garamond" w:eastAsia="Garamond" w:cs="Garamond"/>
          <w:sz w:val="24"/>
          <w:szCs w:val="24"/>
          <w:lang w:val="en-US"/>
        </w:rPr>
        <w:t xml:space="preserve"> hurricane storm surge. </w:t>
      </w:r>
      <w:r w:rsidRPr="79DD7CC6" w:rsidR="00B36675">
        <w:rPr>
          <w:rFonts w:ascii="Garamond" w:hAnsi="Garamond" w:eastAsia="Garamond" w:cs="Garamond"/>
          <w:i w:val="1"/>
          <w:iCs w:val="1"/>
          <w:sz w:val="24"/>
          <w:szCs w:val="24"/>
          <w:lang w:val="en-US"/>
        </w:rPr>
        <w:t>Nature Climate Change</w:t>
      </w:r>
      <w:r w:rsidRPr="79DD7CC6" w:rsidR="00B36675">
        <w:rPr>
          <w:rFonts w:ascii="Garamond" w:hAnsi="Garamond" w:eastAsia="Garamond" w:cs="Garamond"/>
          <w:sz w:val="24"/>
          <w:szCs w:val="24"/>
          <w:lang w:val="en-US"/>
        </w:rPr>
        <w:t>, 10, 843–847.</w:t>
      </w:r>
    </w:p>
    <w:p w:rsidR="00F55819" w:rsidP="79DD7CC6" w:rsidRDefault="00B36675" w14:paraId="00000059"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Cohen, J. (2019). Population growth and climate risk in U.S. coastal regions. </w:t>
      </w:r>
      <w:r w:rsidRPr="79DD7CC6" w:rsidR="00B36675">
        <w:rPr>
          <w:rFonts w:ascii="Garamond" w:hAnsi="Garamond" w:eastAsia="Garamond" w:cs="Garamond"/>
          <w:i w:val="1"/>
          <w:iCs w:val="1"/>
          <w:sz w:val="24"/>
          <w:szCs w:val="24"/>
        </w:rPr>
        <w:t>Population and Environment</w:t>
      </w:r>
      <w:r w:rsidRPr="79DD7CC6" w:rsidR="00B36675">
        <w:rPr>
          <w:rFonts w:ascii="Garamond" w:hAnsi="Garamond" w:eastAsia="Garamond" w:cs="Garamond"/>
          <w:sz w:val="24"/>
          <w:szCs w:val="24"/>
        </w:rPr>
        <w:t>, 41(2), 123–145.</w:t>
      </w:r>
    </w:p>
    <w:p w:rsidR="00F55819" w:rsidP="79DD7CC6" w:rsidRDefault="00B36675" w14:paraId="0000005A"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Corbin, M. (2021). Federal disaster policy and environmental justice after Katrina. </w:t>
      </w:r>
      <w:r w:rsidRPr="79DD7CC6" w:rsidR="00B36675">
        <w:rPr>
          <w:rFonts w:ascii="Garamond" w:hAnsi="Garamond" w:eastAsia="Garamond" w:cs="Garamond"/>
          <w:i w:val="1"/>
          <w:iCs w:val="1"/>
          <w:sz w:val="24"/>
          <w:szCs w:val="24"/>
        </w:rPr>
        <w:t>Environmental Justice</w:t>
      </w:r>
      <w:r w:rsidRPr="79DD7CC6" w:rsidR="00B36675">
        <w:rPr>
          <w:rFonts w:ascii="Garamond" w:hAnsi="Garamond" w:eastAsia="Garamond" w:cs="Garamond"/>
          <w:sz w:val="24"/>
          <w:szCs w:val="24"/>
        </w:rPr>
        <w:t>, 14(2), 67–74.</w:t>
      </w:r>
    </w:p>
    <w:p w:rsidR="00F55819" w:rsidP="79DD7CC6" w:rsidRDefault="00B36675" w14:paraId="0000005B"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Flowers, C. C. (2021). </w:t>
      </w:r>
      <w:r w:rsidRPr="79DD7CC6" w:rsidR="00B36675">
        <w:rPr>
          <w:rFonts w:ascii="Garamond" w:hAnsi="Garamond" w:eastAsia="Garamond" w:cs="Garamond"/>
          <w:i w:val="1"/>
          <w:iCs w:val="1"/>
          <w:sz w:val="24"/>
          <w:szCs w:val="24"/>
        </w:rPr>
        <w:t>Waste: One Woman’s Fight Against America’s Dirty Secret</w:t>
      </w:r>
      <w:r w:rsidRPr="79DD7CC6" w:rsidR="00B36675">
        <w:rPr>
          <w:rFonts w:ascii="Garamond" w:hAnsi="Garamond" w:eastAsia="Garamond" w:cs="Garamond"/>
          <w:sz w:val="24"/>
          <w:szCs w:val="24"/>
        </w:rPr>
        <w:t>. New Press.</w:t>
      </w:r>
    </w:p>
    <w:p w:rsidR="00F55819" w:rsidP="79DD7CC6" w:rsidRDefault="00B36675" w14:paraId="0000005C"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Flores, A. B., et al. (2021). Disaster preparedness and inequities in the Gulf South. </w:t>
      </w:r>
      <w:r w:rsidRPr="79DD7CC6" w:rsidR="00B36675">
        <w:rPr>
          <w:rFonts w:ascii="Garamond" w:hAnsi="Garamond" w:eastAsia="Garamond" w:cs="Garamond"/>
          <w:i w:val="1"/>
          <w:iCs w:val="1"/>
          <w:sz w:val="24"/>
          <w:szCs w:val="24"/>
        </w:rPr>
        <w:t>Social Science &amp; Medicine</w:t>
      </w:r>
      <w:r w:rsidRPr="79DD7CC6" w:rsidR="00B36675">
        <w:rPr>
          <w:rFonts w:ascii="Garamond" w:hAnsi="Garamond" w:eastAsia="Garamond" w:cs="Garamond"/>
          <w:sz w:val="24"/>
          <w:szCs w:val="24"/>
        </w:rPr>
        <w:t>, 280, 114037.</w:t>
      </w:r>
    </w:p>
    <w:p w:rsidR="00F55819" w:rsidP="79DD7CC6" w:rsidRDefault="00B36675" w14:paraId="0000005D"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GAO. (1983). </w:t>
      </w:r>
      <w:r w:rsidRPr="79DD7CC6" w:rsidR="00B36675">
        <w:rPr>
          <w:rFonts w:ascii="Garamond" w:hAnsi="Garamond" w:eastAsia="Garamond" w:cs="Garamond"/>
          <w:i w:val="1"/>
          <w:iCs w:val="1"/>
          <w:sz w:val="24"/>
          <w:szCs w:val="24"/>
          <w:lang w:val="en-US"/>
        </w:rPr>
        <w:t>Siting</w:t>
      </w:r>
      <w:r w:rsidRPr="79DD7CC6" w:rsidR="00B36675">
        <w:rPr>
          <w:rFonts w:ascii="Garamond" w:hAnsi="Garamond" w:eastAsia="Garamond" w:cs="Garamond"/>
          <w:i w:val="1"/>
          <w:iCs w:val="1"/>
          <w:sz w:val="24"/>
          <w:szCs w:val="24"/>
          <w:lang w:val="en-US"/>
        </w:rPr>
        <w:t xml:space="preserve"> of Hazardous Waste Landfills and Their Correlation with Racial and Economic Status of Surrounding Communities</w:t>
      </w:r>
      <w:r w:rsidRPr="79DD7CC6" w:rsidR="00B36675">
        <w:rPr>
          <w:rFonts w:ascii="Garamond" w:hAnsi="Garamond" w:eastAsia="Garamond" w:cs="Garamond"/>
          <w:sz w:val="24"/>
          <w:szCs w:val="24"/>
          <w:lang w:val="en-US"/>
        </w:rPr>
        <w:t>. U.S. Government Accountability Office.</w:t>
      </w:r>
    </w:p>
    <w:p w:rsidR="00F55819" w:rsidP="79DD7CC6" w:rsidRDefault="00B36675" w14:paraId="0000005E"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Gensini</w:t>
      </w:r>
      <w:r w:rsidRPr="79DD7CC6" w:rsidR="00B36675">
        <w:rPr>
          <w:rFonts w:ascii="Garamond" w:hAnsi="Garamond" w:eastAsia="Garamond" w:cs="Garamond"/>
          <w:sz w:val="24"/>
          <w:szCs w:val="24"/>
          <w:lang w:val="en-US"/>
        </w:rPr>
        <w:t xml:space="preserve">, V. A., &amp; Brooks, H. E. (2018). Tornado activity shifts in the southeastern United States. </w:t>
      </w:r>
      <w:r w:rsidRPr="79DD7CC6" w:rsidR="00B36675">
        <w:rPr>
          <w:rFonts w:ascii="Garamond" w:hAnsi="Garamond" w:eastAsia="Garamond" w:cs="Garamond"/>
          <w:i w:val="1"/>
          <w:iCs w:val="1"/>
          <w:sz w:val="24"/>
          <w:szCs w:val="24"/>
          <w:lang w:val="en-US"/>
        </w:rPr>
        <w:t>Climate Dynamics</w:t>
      </w:r>
      <w:r w:rsidRPr="79DD7CC6" w:rsidR="00B36675">
        <w:rPr>
          <w:rFonts w:ascii="Garamond" w:hAnsi="Garamond" w:eastAsia="Garamond" w:cs="Garamond"/>
          <w:sz w:val="24"/>
          <w:szCs w:val="24"/>
          <w:lang w:val="en-US"/>
        </w:rPr>
        <w:t>, 51, 1–12.</w:t>
      </w:r>
    </w:p>
    <w:p w:rsidR="00F55819" w:rsidP="79DD7CC6" w:rsidRDefault="00B36675" w14:paraId="0000005F"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Hendricks, M. D., &amp; Van Zandt, S. (2021). Infrastructure, environmental justice, and resilience. </w:t>
      </w:r>
      <w:r w:rsidRPr="79DD7CC6" w:rsidR="00B36675">
        <w:rPr>
          <w:rFonts w:ascii="Garamond" w:hAnsi="Garamond" w:eastAsia="Garamond" w:cs="Garamond"/>
          <w:i w:val="1"/>
          <w:iCs w:val="1"/>
          <w:sz w:val="24"/>
          <w:szCs w:val="24"/>
        </w:rPr>
        <w:t>Journal of Planning Education and Research</w:t>
      </w:r>
      <w:r w:rsidRPr="79DD7CC6" w:rsidR="00B36675">
        <w:rPr>
          <w:rFonts w:ascii="Garamond" w:hAnsi="Garamond" w:eastAsia="Garamond" w:cs="Garamond"/>
          <w:sz w:val="24"/>
          <w:szCs w:val="24"/>
        </w:rPr>
        <w:t>, 41(4), 421–436.</w:t>
      </w:r>
    </w:p>
    <w:p w:rsidR="00F55819" w:rsidP="79DD7CC6" w:rsidRDefault="00B36675" w14:paraId="00000060"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Minovi</w:t>
      </w:r>
      <w:r w:rsidRPr="79DD7CC6" w:rsidR="00B36675">
        <w:rPr>
          <w:rFonts w:ascii="Garamond" w:hAnsi="Garamond" w:eastAsia="Garamond" w:cs="Garamond"/>
          <w:sz w:val="24"/>
          <w:szCs w:val="24"/>
          <w:lang w:val="en-US"/>
        </w:rPr>
        <w:t xml:space="preserve">, D. (2021). Chemical releases during extreme weather events. </w:t>
      </w:r>
      <w:r w:rsidRPr="79DD7CC6" w:rsidR="00B36675">
        <w:rPr>
          <w:rFonts w:ascii="Garamond" w:hAnsi="Garamond" w:eastAsia="Garamond" w:cs="Garamond"/>
          <w:i w:val="1"/>
          <w:iCs w:val="1"/>
          <w:sz w:val="24"/>
          <w:szCs w:val="24"/>
          <w:lang w:val="en-US"/>
        </w:rPr>
        <w:t>Environmental Health Perspectives</w:t>
      </w:r>
      <w:r w:rsidRPr="79DD7CC6" w:rsidR="00B36675">
        <w:rPr>
          <w:rFonts w:ascii="Garamond" w:hAnsi="Garamond" w:eastAsia="Garamond" w:cs="Garamond"/>
          <w:sz w:val="24"/>
          <w:szCs w:val="24"/>
          <w:lang w:val="en-US"/>
        </w:rPr>
        <w:t>, 129(4).</w:t>
      </w:r>
    </w:p>
    <w:p w:rsidR="00F55819" w:rsidP="79DD7CC6" w:rsidRDefault="00B36675" w14:paraId="00000061"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Mohai</w:t>
      </w:r>
      <w:r w:rsidRPr="79DD7CC6" w:rsidR="00B36675">
        <w:rPr>
          <w:rFonts w:ascii="Garamond" w:hAnsi="Garamond" w:eastAsia="Garamond" w:cs="Garamond"/>
          <w:sz w:val="24"/>
          <w:szCs w:val="24"/>
          <w:lang w:val="en-US"/>
        </w:rPr>
        <w:t xml:space="preserve">, P., &amp; Saha, R. (2006). Reassessing racial and socioeconomic disparities in environmental justice research. </w:t>
      </w:r>
      <w:r w:rsidRPr="79DD7CC6" w:rsidR="00B36675">
        <w:rPr>
          <w:rFonts w:ascii="Garamond" w:hAnsi="Garamond" w:eastAsia="Garamond" w:cs="Garamond"/>
          <w:i w:val="1"/>
          <w:iCs w:val="1"/>
          <w:sz w:val="24"/>
          <w:szCs w:val="24"/>
          <w:lang w:val="en-US"/>
        </w:rPr>
        <w:t>Demography</w:t>
      </w:r>
      <w:r w:rsidRPr="79DD7CC6" w:rsidR="00B36675">
        <w:rPr>
          <w:rFonts w:ascii="Garamond" w:hAnsi="Garamond" w:eastAsia="Garamond" w:cs="Garamond"/>
          <w:sz w:val="24"/>
          <w:szCs w:val="24"/>
          <w:lang w:val="en-US"/>
        </w:rPr>
        <w:t>, 43(2), 383–399.</w:t>
      </w:r>
    </w:p>
    <w:p w:rsidR="00F55819" w:rsidP="79DD7CC6" w:rsidRDefault="00B36675" w14:paraId="00000062"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Morrow, N., et al. (2022). Environmental protection and equity in development contexts. </w:t>
      </w:r>
      <w:r w:rsidRPr="79DD7CC6" w:rsidR="00B36675">
        <w:rPr>
          <w:rFonts w:ascii="Garamond" w:hAnsi="Garamond" w:eastAsia="Garamond" w:cs="Garamond"/>
          <w:i w:val="1"/>
          <w:iCs w:val="1"/>
          <w:sz w:val="24"/>
          <w:szCs w:val="24"/>
        </w:rPr>
        <w:t>World Development</w:t>
      </w:r>
      <w:r w:rsidRPr="79DD7CC6" w:rsidR="00B36675">
        <w:rPr>
          <w:rFonts w:ascii="Garamond" w:hAnsi="Garamond" w:eastAsia="Garamond" w:cs="Garamond"/>
          <w:sz w:val="24"/>
          <w:szCs w:val="24"/>
        </w:rPr>
        <w:t>, 150, 105706.</w:t>
      </w:r>
    </w:p>
    <w:p w:rsidR="00F55819" w:rsidP="79DD7CC6" w:rsidRDefault="00B36675" w14:paraId="00000063"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NASA. (2021). </w:t>
      </w:r>
      <w:r w:rsidRPr="79DD7CC6" w:rsidR="00B36675">
        <w:rPr>
          <w:rFonts w:ascii="Garamond" w:hAnsi="Garamond" w:eastAsia="Garamond" w:cs="Garamond"/>
          <w:i w:val="1"/>
          <w:iCs w:val="1"/>
          <w:sz w:val="24"/>
          <w:szCs w:val="24"/>
        </w:rPr>
        <w:t>NASA Earth Science Equity and Environmental Justice Workshop Summary</w:t>
      </w:r>
      <w:r w:rsidRPr="79DD7CC6" w:rsidR="00B36675">
        <w:rPr>
          <w:rFonts w:ascii="Garamond" w:hAnsi="Garamond" w:eastAsia="Garamond" w:cs="Garamond"/>
          <w:sz w:val="24"/>
          <w:szCs w:val="24"/>
        </w:rPr>
        <w:t>.</w:t>
      </w:r>
    </w:p>
    <w:p w:rsidR="00F55819" w:rsidP="79DD7CC6" w:rsidRDefault="00B36675" w14:paraId="00000064"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NASA. (2022). </w:t>
      </w:r>
      <w:r w:rsidRPr="79DD7CC6" w:rsidR="00B36675">
        <w:rPr>
          <w:rFonts w:ascii="Garamond" w:hAnsi="Garamond" w:eastAsia="Garamond" w:cs="Garamond"/>
          <w:i w:val="1"/>
          <w:iCs w:val="1"/>
          <w:sz w:val="24"/>
          <w:szCs w:val="24"/>
        </w:rPr>
        <w:t>Earth Observations for Environmental Justice: Program Overview</w:t>
      </w:r>
      <w:r w:rsidRPr="79DD7CC6" w:rsidR="00B36675">
        <w:rPr>
          <w:rFonts w:ascii="Garamond" w:hAnsi="Garamond" w:eastAsia="Garamond" w:cs="Garamond"/>
          <w:sz w:val="24"/>
          <w:szCs w:val="24"/>
        </w:rPr>
        <w:t>.</w:t>
      </w:r>
    </w:p>
    <w:p w:rsidR="00F55819" w:rsidP="79DD7CC6" w:rsidRDefault="00B36675" w14:paraId="00000065"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Ramachandran, R., Bugbee, K., &amp; Murphy, K. (2021). From open data to open science. </w:t>
      </w:r>
      <w:r w:rsidRPr="79DD7CC6" w:rsidR="00B36675">
        <w:rPr>
          <w:rFonts w:ascii="Garamond" w:hAnsi="Garamond" w:eastAsia="Garamond" w:cs="Garamond"/>
          <w:i w:val="1"/>
          <w:iCs w:val="1"/>
          <w:sz w:val="24"/>
          <w:szCs w:val="24"/>
        </w:rPr>
        <w:t>Earth Science Informatics</w:t>
      </w:r>
      <w:r w:rsidRPr="79DD7CC6" w:rsidR="00B36675">
        <w:rPr>
          <w:rFonts w:ascii="Garamond" w:hAnsi="Garamond" w:eastAsia="Garamond" w:cs="Garamond"/>
          <w:sz w:val="24"/>
          <w:szCs w:val="24"/>
        </w:rPr>
        <w:t>, 14, 237–252.</w:t>
      </w:r>
    </w:p>
    <w:p w:rsidR="00F55819" w:rsidP="79DD7CC6" w:rsidRDefault="00B36675" w14:paraId="00000066"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Radley, D., et al. (2021). Health disparities in the southern United States. </w:t>
      </w:r>
      <w:r w:rsidRPr="79DD7CC6" w:rsidR="00B36675">
        <w:rPr>
          <w:rFonts w:ascii="Garamond" w:hAnsi="Garamond" w:eastAsia="Garamond" w:cs="Garamond"/>
          <w:i w:val="1"/>
          <w:iCs w:val="1"/>
          <w:sz w:val="24"/>
          <w:szCs w:val="24"/>
        </w:rPr>
        <w:t>Commonwealth Fund Issue Brief</w:t>
      </w:r>
      <w:r w:rsidRPr="79DD7CC6" w:rsidR="00B36675">
        <w:rPr>
          <w:rFonts w:ascii="Garamond" w:hAnsi="Garamond" w:eastAsia="Garamond" w:cs="Garamond"/>
          <w:sz w:val="24"/>
          <w:szCs w:val="24"/>
        </w:rPr>
        <w:t>.</w:t>
      </w:r>
    </w:p>
    <w:p w:rsidR="00F55819" w:rsidP="79DD7CC6" w:rsidRDefault="00B36675" w14:paraId="00000067"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United Church of Christ. (1987). </w:t>
      </w:r>
      <w:r w:rsidRPr="79DD7CC6" w:rsidR="00B36675">
        <w:rPr>
          <w:rFonts w:ascii="Garamond" w:hAnsi="Garamond" w:eastAsia="Garamond" w:cs="Garamond"/>
          <w:i w:val="1"/>
          <w:iCs w:val="1"/>
          <w:sz w:val="24"/>
          <w:szCs w:val="24"/>
        </w:rPr>
        <w:t>Toxic Waste and Race in the United States</w:t>
      </w:r>
      <w:r w:rsidRPr="79DD7CC6" w:rsidR="00B36675">
        <w:rPr>
          <w:rFonts w:ascii="Garamond" w:hAnsi="Garamond" w:eastAsia="Garamond" w:cs="Garamond"/>
          <w:sz w:val="24"/>
          <w:szCs w:val="24"/>
        </w:rPr>
        <w:t>.</w:t>
      </w:r>
    </w:p>
    <w:p w:rsidR="00F55819" w:rsidP="79DD7CC6" w:rsidRDefault="00B36675" w14:paraId="00000068"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White House Council on Environmental Quality (WHCEQ). (2022). </w:t>
      </w:r>
      <w:r w:rsidRPr="79DD7CC6" w:rsidR="00B36675">
        <w:rPr>
          <w:rFonts w:ascii="Garamond" w:hAnsi="Garamond" w:eastAsia="Garamond" w:cs="Garamond"/>
          <w:i w:val="1"/>
          <w:iCs w:val="1"/>
          <w:sz w:val="24"/>
          <w:szCs w:val="24"/>
        </w:rPr>
        <w:t>Climate and Economic Justice Screening Tool (CEJST) Technical Documentation</w:t>
      </w:r>
      <w:r w:rsidRPr="79DD7CC6" w:rsidR="00B36675">
        <w:rPr>
          <w:rFonts w:ascii="Garamond" w:hAnsi="Garamond" w:eastAsia="Garamond" w:cs="Garamond"/>
          <w:sz w:val="24"/>
          <w:szCs w:val="24"/>
        </w:rPr>
        <w:t>.</w:t>
      </w:r>
    </w:p>
    <w:p w:rsidR="00F55819" w:rsidP="79DD7CC6" w:rsidRDefault="00B36675" w14:paraId="00000069"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Weden, M. M., &amp; Parker, A. M. (2021). Residential segregation, disaster exposure, and health. </w:t>
      </w:r>
      <w:r w:rsidRPr="79DD7CC6" w:rsidR="00B36675">
        <w:rPr>
          <w:rFonts w:ascii="Garamond" w:hAnsi="Garamond" w:eastAsia="Garamond" w:cs="Garamond"/>
          <w:i w:val="1"/>
          <w:iCs w:val="1"/>
          <w:sz w:val="24"/>
          <w:szCs w:val="24"/>
        </w:rPr>
        <w:t>Social Science &amp; Medicine</w:t>
      </w:r>
      <w:r w:rsidRPr="79DD7CC6" w:rsidR="00B36675">
        <w:rPr>
          <w:rFonts w:ascii="Garamond" w:hAnsi="Garamond" w:eastAsia="Garamond" w:cs="Garamond"/>
          <w:sz w:val="24"/>
          <w:szCs w:val="24"/>
        </w:rPr>
        <w:t>, 276, 113829.</w:t>
      </w:r>
    </w:p>
    <w:p w:rsidR="00F55819" w:rsidP="79DD7CC6" w:rsidRDefault="00B36675" w14:paraId="0000006A"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Bae, H. S., Huang, L., White, J. R., Wang, J., </w:t>
      </w:r>
      <w:r w:rsidRPr="79DD7CC6" w:rsidR="00B36675">
        <w:rPr>
          <w:rFonts w:ascii="Garamond" w:hAnsi="Garamond" w:eastAsia="Garamond" w:cs="Garamond"/>
          <w:sz w:val="24"/>
          <w:szCs w:val="24"/>
          <w:lang w:val="en-US"/>
        </w:rPr>
        <w:t>DeLaune</w:t>
      </w:r>
      <w:r w:rsidRPr="79DD7CC6" w:rsidR="00B36675">
        <w:rPr>
          <w:rFonts w:ascii="Garamond" w:hAnsi="Garamond" w:eastAsia="Garamond" w:cs="Garamond"/>
          <w:sz w:val="24"/>
          <w:szCs w:val="24"/>
          <w:lang w:val="en-US"/>
        </w:rPr>
        <w:t xml:space="preserve">, R. D., &amp; Ogram, A. (2018). Response </w:t>
      </w:r>
      <w:r w:rsidRPr="79DD7CC6" w:rsidR="00B36675">
        <w:rPr>
          <w:rFonts w:ascii="Garamond" w:hAnsi="Garamond" w:eastAsia="Garamond" w:cs="Garamond"/>
          <w:sz w:val="24"/>
          <w:szCs w:val="24"/>
          <w:lang w:val="en-US"/>
        </w:rPr>
        <w:t>of</w:t>
      </w:r>
      <w:r w:rsidRPr="79DD7CC6" w:rsidR="00B36675">
        <w:rPr>
          <w:rFonts w:ascii="Garamond" w:hAnsi="Garamond" w:eastAsia="Garamond" w:cs="Garamond"/>
          <w:sz w:val="24"/>
          <w:szCs w:val="24"/>
          <w:lang w:val="en-US"/>
        </w:rPr>
        <w:t xml:space="preserve"> microbial populations regulating nutrient biogeochemical cycles to oiling of coastal saltmarshes from the Deepwater Horizon oil spill. </w:t>
      </w:r>
    </w:p>
    <w:p w:rsidR="00F55819" w:rsidP="79DD7CC6" w:rsidRDefault="00B36675" w14:paraId="0000006B"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Gould, D. W., Teich, J. L., Pemberton, M. R., </w:t>
      </w:r>
      <w:r w:rsidRPr="79DD7CC6" w:rsidR="00B36675">
        <w:rPr>
          <w:rFonts w:ascii="Garamond" w:hAnsi="Garamond" w:eastAsia="Garamond" w:cs="Garamond"/>
          <w:sz w:val="24"/>
          <w:szCs w:val="24"/>
          <w:lang w:val="en-US"/>
        </w:rPr>
        <w:t>Pierannunzi</w:t>
      </w:r>
      <w:r w:rsidRPr="79DD7CC6" w:rsidR="00B36675">
        <w:rPr>
          <w:rFonts w:ascii="Garamond" w:hAnsi="Garamond" w:eastAsia="Garamond" w:cs="Garamond"/>
          <w:sz w:val="24"/>
          <w:szCs w:val="24"/>
          <w:lang w:val="en-US"/>
        </w:rPr>
        <w:t xml:space="preserve">, C., &amp; Larson, S. (2015). Behavioral health in the Gulf Coast region following the Deepwater Horizon oil spill: Findings from two federal surveys. </w:t>
      </w:r>
      <w:r w:rsidRPr="79DD7CC6" w:rsidR="00B36675">
        <w:rPr>
          <w:rFonts w:ascii="Garamond" w:hAnsi="Garamond" w:eastAsia="Garamond" w:cs="Garamond"/>
          <w:i w:val="1"/>
          <w:iCs w:val="1"/>
          <w:sz w:val="24"/>
          <w:szCs w:val="24"/>
          <w:lang w:val="en-US"/>
        </w:rPr>
        <w:t>Journal of Behavioral Health Services and Research</w:t>
      </w:r>
      <w:r w:rsidRPr="79DD7CC6" w:rsidR="00B36675">
        <w:rPr>
          <w:rFonts w:ascii="Garamond" w:hAnsi="Garamond" w:eastAsia="Garamond" w:cs="Garamond"/>
          <w:sz w:val="24"/>
          <w:szCs w:val="24"/>
          <w:lang w:val="en-US"/>
        </w:rPr>
        <w:t>, 42, 6–22.</w:t>
      </w:r>
    </w:p>
    <w:p w:rsidR="00F55819" w:rsidP="79DD7CC6" w:rsidRDefault="00B36675" w14:paraId="0000006C"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Harville, E. W., Shankar, A., </w:t>
      </w:r>
      <w:r w:rsidRPr="79DD7CC6" w:rsidR="00B36675">
        <w:rPr>
          <w:rFonts w:ascii="Garamond" w:hAnsi="Garamond" w:eastAsia="Garamond" w:cs="Garamond"/>
          <w:sz w:val="24"/>
          <w:szCs w:val="24"/>
          <w:lang w:val="en-US"/>
        </w:rPr>
        <w:t>Buekens</w:t>
      </w:r>
      <w:r w:rsidRPr="79DD7CC6" w:rsidR="00B36675">
        <w:rPr>
          <w:rFonts w:ascii="Garamond" w:hAnsi="Garamond" w:eastAsia="Garamond" w:cs="Garamond"/>
          <w:sz w:val="24"/>
          <w:szCs w:val="24"/>
          <w:lang w:val="en-US"/>
        </w:rPr>
        <w:t xml:space="preserve">, P., Wickliffe, J. K., &amp; </w:t>
      </w:r>
      <w:r w:rsidRPr="79DD7CC6" w:rsidR="00B36675">
        <w:rPr>
          <w:rFonts w:ascii="Garamond" w:hAnsi="Garamond" w:eastAsia="Garamond" w:cs="Garamond"/>
          <w:sz w:val="24"/>
          <w:szCs w:val="24"/>
          <w:lang w:val="en-US"/>
        </w:rPr>
        <w:t>Lichtveld</w:t>
      </w:r>
      <w:r w:rsidRPr="79DD7CC6" w:rsidR="00B36675">
        <w:rPr>
          <w:rFonts w:ascii="Garamond" w:hAnsi="Garamond" w:eastAsia="Garamond" w:cs="Garamond"/>
          <w:sz w:val="24"/>
          <w:szCs w:val="24"/>
          <w:lang w:val="en-US"/>
        </w:rPr>
        <w:t xml:space="preserve">, M. Y. (2021). Self-reported oil spill exposure and birth outcomes among southern Louisiana women at the time of the Gulf oil spill: The GROWH study. </w:t>
      </w:r>
      <w:r w:rsidRPr="79DD7CC6" w:rsidR="00B36675">
        <w:rPr>
          <w:rFonts w:ascii="Garamond" w:hAnsi="Garamond" w:eastAsia="Garamond" w:cs="Garamond"/>
          <w:i w:val="1"/>
          <w:iCs w:val="1"/>
          <w:sz w:val="24"/>
          <w:szCs w:val="24"/>
          <w:lang w:val="en-US"/>
        </w:rPr>
        <w:t>International Journal of Hygiene and Environmental Health</w:t>
      </w:r>
      <w:r w:rsidRPr="79DD7CC6" w:rsidR="00B36675">
        <w:rPr>
          <w:rFonts w:ascii="Garamond" w:hAnsi="Garamond" w:eastAsia="Garamond" w:cs="Garamond"/>
          <w:sz w:val="24"/>
          <w:szCs w:val="24"/>
          <w:lang w:val="en-US"/>
        </w:rPr>
        <w:t>, 237, 113829.</w:t>
      </w:r>
    </w:p>
    <w:p w:rsidR="00F55819" w:rsidP="79DD7CC6" w:rsidRDefault="00B36675" w14:paraId="0000006D"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 xml:space="preserve">Keating, K. S., Becker, S., Davis, I. F., Chandler, T., Slack, T., &amp; Beedasy, J. (2020). Families coping with </w:t>
      </w:r>
      <w:r w:rsidRPr="79DD7CC6" w:rsidR="00B36675">
        <w:rPr>
          <w:rFonts w:ascii="Garamond" w:hAnsi="Garamond" w:eastAsia="Garamond" w:cs="Garamond"/>
          <w:sz w:val="24"/>
          <w:szCs w:val="24"/>
          <w:lang w:val="en-US"/>
        </w:rPr>
        <w:t>financial loss</w:t>
      </w:r>
      <w:r w:rsidRPr="79DD7CC6" w:rsidR="00B36675">
        <w:rPr>
          <w:rFonts w:ascii="Garamond" w:hAnsi="Garamond" w:eastAsia="Garamond" w:cs="Garamond"/>
          <w:sz w:val="24"/>
          <w:szCs w:val="24"/>
          <w:lang w:val="en-US"/>
        </w:rPr>
        <w:t xml:space="preserve"> following the Deepwater Horizon oil spill. </w:t>
      </w:r>
      <w:r w:rsidRPr="79DD7CC6" w:rsidR="00B36675">
        <w:rPr>
          <w:rFonts w:ascii="Garamond" w:hAnsi="Garamond" w:eastAsia="Garamond" w:cs="Garamond"/>
          <w:i w:val="1"/>
          <w:iCs w:val="1"/>
          <w:sz w:val="24"/>
          <w:szCs w:val="24"/>
          <w:lang w:val="en-US"/>
        </w:rPr>
        <w:t>Family Relations</w:t>
      </w:r>
      <w:r w:rsidRPr="79DD7CC6" w:rsidR="00B36675">
        <w:rPr>
          <w:rFonts w:ascii="Garamond" w:hAnsi="Garamond" w:eastAsia="Garamond" w:cs="Garamond"/>
          <w:sz w:val="24"/>
          <w:szCs w:val="24"/>
          <w:lang w:val="en-US"/>
        </w:rPr>
        <w:t>, 69, 887–906.</w:t>
      </w:r>
    </w:p>
    <w:p w:rsidR="00F55819" w:rsidP="79DD7CC6" w:rsidRDefault="00B36675" w14:paraId="0000006E" w14:textId="77777777">
      <w:pPr>
        <w:spacing w:before="240" w:after="240"/>
        <w:rPr>
          <w:rFonts w:ascii="Garamond" w:hAnsi="Garamond" w:eastAsia="Garamond" w:cs="Garamond"/>
          <w:sz w:val="24"/>
          <w:szCs w:val="24"/>
          <w:lang w:val="en-US"/>
        </w:rPr>
      </w:pPr>
      <w:r w:rsidRPr="79DD7CC6" w:rsidR="00B36675">
        <w:rPr>
          <w:rFonts w:ascii="Garamond" w:hAnsi="Garamond" w:eastAsia="Garamond" w:cs="Garamond"/>
          <w:sz w:val="24"/>
          <w:szCs w:val="24"/>
          <w:lang w:val="en-US"/>
        </w:rPr>
        <w:t>Lichtveld</w:t>
      </w:r>
      <w:r w:rsidRPr="79DD7CC6" w:rsidR="00B36675">
        <w:rPr>
          <w:rFonts w:ascii="Garamond" w:hAnsi="Garamond" w:eastAsia="Garamond" w:cs="Garamond"/>
          <w:sz w:val="24"/>
          <w:szCs w:val="24"/>
          <w:lang w:val="en-US"/>
        </w:rPr>
        <w:t xml:space="preserve">, M., </w:t>
      </w:r>
      <w:r w:rsidRPr="79DD7CC6" w:rsidR="00B36675">
        <w:rPr>
          <w:rFonts w:ascii="Garamond" w:hAnsi="Garamond" w:eastAsia="Garamond" w:cs="Garamond"/>
          <w:sz w:val="24"/>
          <w:szCs w:val="24"/>
          <w:lang w:val="en-US"/>
        </w:rPr>
        <w:t>Sherchan</w:t>
      </w:r>
      <w:r w:rsidRPr="79DD7CC6" w:rsidR="00B36675">
        <w:rPr>
          <w:rFonts w:ascii="Garamond" w:hAnsi="Garamond" w:eastAsia="Garamond" w:cs="Garamond"/>
          <w:sz w:val="24"/>
          <w:szCs w:val="24"/>
          <w:lang w:val="en-US"/>
        </w:rPr>
        <w:t xml:space="preserve">, S., Gam, K. B., Kwok, R. K., Mundorf, C., Shankar, A., &amp; Soares, L. (2016). The Deepwater Horizon oil </w:t>
      </w:r>
      <w:r w:rsidRPr="79DD7CC6" w:rsidR="00B36675">
        <w:rPr>
          <w:rFonts w:ascii="Garamond" w:hAnsi="Garamond" w:eastAsia="Garamond" w:cs="Garamond"/>
          <w:sz w:val="24"/>
          <w:szCs w:val="24"/>
          <w:lang w:val="en-US"/>
        </w:rPr>
        <w:t>spill</w:t>
      </w:r>
      <w:r w:rsidRPr="79DD7CC6" w:rsidR="00B36675">
        <w:rPr>
          <w:rFonts w:ascii="Garamond" w:hAnsi="Garamond" w:eastAsia="Garamond" w:cs="Garamond"/>
          <w:sz w:val="24"/>
          <w:szCs w:val="24"/>
          <w:lang w:val="en-US"/>
        </w:rPr>
        <w:t xml:space="preserve"> through the lens of human health and the ecosystem. </w:t>
      </w:r>
      <w:r w:rsidRPr="79DD7CC6" w:rsidR="00B36675">
        <w:rPr>
          <w:rFonts w:ascii="Garamond" w:hAnsi="Garamond" w:eastAsia="Garamond" w:cs="Garamond"/>
          <w:i w:val="1"/>
          <w:iCs w:val="1"/>
          <w:sz w:val="24"/>
          <w:szCs w:val="24"/>
          <w:lang w:val="en-US"/>
        </w:rPr>
        <w:t>Current Environmental Health Reports</w:t>
      </w:r>
      <w:r w:rsidRPr="79DD7CC6" w:rsidR="00B36675">
        <w:rPr>
          <w:rFonts w:ascii="Garamond" w:hAnsi="Garamond" w:eastAsia="Garamond" w:cs="Garamond"/>
          <w:sz w:val="24"/>
          <w:szCs w:val="24"/>
          <w:lang w:val="en-US"/>
        </w:rPr>
        <w:t>, 3, 370–378.</w:t>
      </w:r>
    </w:p>
    <w:p w:rsidR="00F55819" w:rsidP="79DD7CC6" w:rsidRDefault="00B36675" w14:paraId="0000006F"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Mishra, D. R., Cho, H. J., Ghosh, S., Fox, A., Downs, C., Merani, P. B. T., &amp; Mishra, S. (2012). Post-spill state of the marsh: Remote estimation of the ecological impact of the Gulf of Mexico oil spill on Louisiana salt marshes. </w:t>
      </w:r>
      <w:r w:rsidRPr="79DD7CC6" w:rsidR="00B36675">
        <w:rPr>
          <w:rFonts w:ascii="Garamond" w:hAnsi="Garamond" w:eastAsia="Garamond" w:cs="Garamond"/>
          <w:i w:val="1"/>
          <w:iCs w:val="1"/>
          <w:sz w:val="24"/>
          <w:szCs w:val="24"/>
        </w:rPr>
        <w:t>Remote Sensing of Environment</w:t>
      </w:r>
      <w:r w:rsidRPr="79DD7CC6" w:rsidR="00B36675">
        <w:rPr>
          <w:rFonts w:ascii="Garamond" w:hAnsi="Garamond" w:eastAsia="Garamond" w:cs="Garamond"/>
          <w:sz w:val="24"/>
          <w:szCs w:val="24"/>
        </w:rPr>
        <w:t>, 118, 176–185.</w:t>
      </w:r>
    </w:p>
    <w:p w:rsidR="00F55819" w:rsidP="79DD7CC6" w:rsidRDefault="00B36675" w14:paraId="00000070"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Nance, E., King, D., Wright, B., &amp; Bullard, R. D. (2016). Ambient air concentrations exceeded health-based standards for fine particulate matter and benzene during the Deepwater Horizon oil spill. </w:t>
      </w:r>
      <w:r w:rsidRPr="79DD7CC6" w:rsidR="00B36675">
        <w:rPr>
          <w:rFonts w:ascii="Garamond" w:hAnsi="Garamond" w:eastAsia="Garamond" w:cs="Garamond"/>
          <w:i w:val="1"/>
          <w:iCs w:val="1"/>
          <w:sz w:val="24"/>
          <w:szCs w:val="24"/>
        </w:rPr>
        <w:t>Journal of the Air &amp; Waste Management Association</w:t>
      </w:r>
      <w:r w:rsidRPr="79DD7CC6" w:rsidR="00B36675">
        <w:rPr>
          <w:rFonts w:ascii="Garamond" w:hAnsi="Garamond" w:eastAsia="Garamond" w:cs="Garamond"/>
          <w:sz w:val="24"/>
          <w:szCs w:val="24"/>
        </w:rPr>
        <w:t>, 66, 224–236.</w:t>
      </w:r>
    </w:p>
    <w:p w:rsidR="00F55819" w:rsidP="79DD7CC6" w:rsidRDefault="00B36675" w14:paraId="00000071"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Osofsky, J. D., &amp; Osofsky, H. J. (2021). Hurricane Katrina and the Gulf oil spill: Lessons learned about short-term and long-term effects. </w:t>
      </w:r>
      <w:r w:rsidRPr="79DD7CC6" w:rsidR="00B36675">
        <w:rPr>
          <w:rFonts w:ascii="Garamond" w:hAnsi="Garamond" w:eastAsia="Garamond" w:cs="Garamond"/>
          <w:i w:val="1"/>
          <w:iCs w:val="1"/>
          <w:sz w:val="24"/>
          <w:szCs w:val="24"/>
        </w:rPr>
        <w:t>International Journal of Psychology</w:t>
      </w:r>
      <w:r w:rsidRPr="79DD7CC6" w:rsidR="00B36675">
        <w:rPr>
          <w:rFonts w:ascii="Garamond" w:hAnsi="Garamond" w:eastAsia="Garamond" w:cs="Garamond"/>
          <w:sz w:val="24"/>
          <w:szCs w:val="24"/>
        </w:rPr>
        <w:t>, 56, 56–63.</w:t>
      </w:r>
    </w:p>
    <w:p w:rsidR="00F55819" w:rsidP="79DD7CC6" w:rsidRDefault="00B36675" w14:paraId="00000072"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Raynie, R., Khalil, S., Villarrubia, C., &amp; Haywood, E. (2020). Coastal monitoring and data management for restoration in Louisiana. </w:t>
      </w:r>
      <w:r w:rsidRPr="79DD7CC6" w:rsidR="00B36675">
        <w:rPr>
          <w:rFonts w:ascii="Garamond" w:hAnsi="Garamond" w:eastAsia="Garamond" w:cs="Garamond"/>
          <w:i w:val="1"/>
          <w:iCs w:val="1"/>
          <w:sz w:val="24"/>
          <w:szCs w:val="24"/>
        </w:rPr>
        <w:t>Shore &amp; Beach</w:t>
      </w:r>
      <w:r w:rsidRPr="79DD7CC6" w:rsidR="00B36675">
        <w:rPr>
          <w:rFonts w:ascii="Garamond" w:hAnsi="Garamond" w:eastAsia="Garamond" w:cs="Garamond"/>
          <w:sz w:val="24"/>
          <w:szCs w:val="24"/>
        </w:rPr>
        <w:t>, 92–101.</w:t>
      </w:r>
    </w:p>
    <w:p w:rsidR="00F55819" w:rsidP="79DD7CC6" w:rsidRDefault="00B36675" w14:paraId="00000073"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Sandifer, P. A., Ferguson, A., Finucane, M. L., Partyka, M., Solo-Gabriele, H. M., Walker, A. H., &amp; Yoskowitz, D. (2021). Human health and socioeconomic effects of the Deepwater Horizon oil spill in the Gulf of Mexico. </w:t>
      </w:r>
      <w:r w:rsidRPr="79DD7CC6" w:rsidR="00B36675">
        <w:rPr>
          <w:rFonts w:ascii="Garamond" w:hAnsi="Garamond" w:eastAsia="Garamond" w:cs="Garamond"/>
          <w:i w:val="1"/>
          <w:iCs w:val="1"/>
          <w:sz w:val="24"/>
          <w:szCs w:val="24"/>
        </w:rPr>
        <w:t>Oceanography</w:t>
      </w:r>
      <w:r w:rsidRPr="79DD7CC6" w:rsidR="00B36675">
        <w:rPr>
          <w:rFonts w:ascii="Garamond" w:hAnsi="Garamond" w:eastAsia="Garamond" w:cs="Garamond"/>
          <w:sz w:val="24"/>
          <w:szCs w:val="24"/>
        </w:rPr>
        <w:t>, 34, 174–191.</w:t>
      </w:r>
    </w:p>
    <w:p w:rsidR="00F55819" w:rsidP="79DD7CC6" w:rsidRDefault="00B36675" w14:paraId="00000074" w14:textId="77777777">
      <w:pPr>
        <w:spacing w:before="240" w:after="240"/>
        <w:rPr>
          <w:rFonts w:ascii="Garamond" w:hAnsi="Garamond" w:eastAsia="Garamond" w:cs="Garamond"/>
          <w:sz w:val="24"/>
          <w:szCs w:val="24"/>
        </w:rPr>
      </w:pPr>
      <w:r w:rsidRPr="79DD7CC6" w:rsidR="00B36675">
        <w:rPr>
          <w:rFonts w:ascii="Garamond" w:hAnsi="Garamond" w:eastAsia="Garamond" w:cs="Garamond"/>
          <w:sz w:val="24"/>
          <w:szCs w:val="24"/>
        </w:rPr>
        <w:t xml:space="preserve">Schutte, C. A., Marton, J. M., Bernhard, A. E., Giblin, A. E., &amp; Roberts, B. J. (2020). No evidence for long-term impacts of oil spill contamination on salt marsh soil nitrogen cycling processes. </w:t>
      </w:r>
      <w:r w:rsidRPr="79DD7CC6" w:rsidR="00B36675">
        <w:rPr>
          <w:rFonts w:ascii="Garamond" w:hAnsi="Garamond" w:eastAsia="Garamond" w:cs="Garamond"/>
          <w:i w:val="1"/>
          <w:iCs w:val="1"/>
          <w:sz w:val="24"/>
          <w:szCs w:val="24"/>
        </w:rPr>
        <w:t>Estuaries and Coasts</w:t>
      </w:r>
      <w:r w:rsidRPr="79DD7CC6" w:rsidR="00B36675">
        <w:rPr>
          <w:rFonts w:ascii="Garamond" w:hAnsi="Garamond" w:eastAsia="Garamond" w:cs="Garamond"/>
          <w:sz w:val="24"/>
          <w:szCs w:val="24"/>
        </w:rPr>
        <w:t>, 43, 865–879.</w:t>
      </w:r>
    </w:p>
    <w:p w:rsidR="00F55819" w:rsidP="79DD7CC6" w:rsidRDefault="00F55819" w14:paraId="00000075" w14:textId="77777777">
      <w:pPr>
        <w:spacing w:before="240" w:after="240"/>
        <w:rPr>
          <w:rFonts w:ascii="Garamond" w:hAnsi="Garamond" w:eastAsia="Garamond" w:cs="Garamond"/>
          <w:sz w:val="24"/>
          <w:szCs w:val="24"/>
        </w:rPr>
      </w:pPr>
    </w:p>
    <w:p w:rsidR="00F55819" w:rsidP="79DD7CC6" w:rsidRDefault="00F55819" w14:paraId="00000076" w14:textId="77777777">
      <w:pPr>
        <w:spacing w:before="240" w:after="240"/>
        <w:rPr>
          <w:rFonts w:ascii="Garamond" w:hAnsi="Garamond" w:eastAsia="Garamond" w:cs="Garamond"/>
          <w:sz w:val="24"/>
          <w:szCs w:val="24"/>
        </w:rPr>
      </w:pPr>
    </w:p>
    <w:p w:rsidR="00F55819" w:rsidP="79DD7CC6" w:rsidRDefault="00F55819" w14:paraId="00000077" w14:textId="77777777">
      <w:pPr>
        <w:rPr>
          <w:rFonts w:ascii="Garamond" w:hAnsi="Garamond" w:eastAsia="Garamond" w:cs="Garamond"/>
          <w:sz w:val="24"/>
          <w:szCs w:val="24"/>
        </w:rPr>
      </w:pPr>
    </w:p>
    <w:sectPr w:rsidR="00F55819">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3E679ED-DA23-4B11-A92F-BE9615622F38}"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DB7B2F5-CC3A-476F-B466-06B6D355E554}"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7A0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77511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578713">
    <w:abstractNumId w:val="1"/>
  </w:num>
  <w:num w:numId="2" w16cid:durableId="4229197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819"/>
    <w:rsid w:val="0059128E"/>
    <w:rsid w:val="00B36675"/>
    <w:rsid w:val="00F55819"/>
    <w:rsid w:val="025486B9"/>
    <w:rsid w:val="049896A6"/>
    <w:rsid w:val="2E8D3A59"/>
    <w:rsid w:val="3925BD45"/>
    <w:rsid w:val="49E08920"/>
    <w:rsid w:val="61DD1161"/>
    <w:rsid w:val="79DD7CC6"/>
    <w:rsid w:val="7B817C3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0E96F2"/>
  <w15:docId w15:val="{E33F8E83-2799-4EA9-9919-EA3982A153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www.webofscience.com/" TargetMode="External" Id="R8e3780eccf3d4636" /><Relationship Type="http://schemas.openxmlformats.org/officeDocument/2006/relationships/hyperlink" Target="https://www.scopus.com/" TargetMode="External" Id="R6190ab7534e44a11" /><Relationship Type="http://schemas.openxmlformats.org/officeDocument/2006/relationships/hyperlink" Target="https://pubmed.ncbi.nlm.nih.gov/" TargetMode="External" Id="Rb8d87ae6827a4867" /><Relationship Type="http://schemas.openxmlformats.org/officeDocument/2006/relationships/hyperlink" Target="https://www.proquest.com/" TargetMode="External" Id="Rfa2501ae8bcb4bc4" /><Relationship Type="http://schemas.openxmlformats.org/officeDocument/2006/relationships/hyperlink" Target="https://scholar.google.com/" TargetMode="External" Id="R4b89877408b74df2"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Morrow, Nathan L</lastModifiedBy>
  <revision>2</revision>
  <dcterms:created xsi:type="dcterms:W3CDTF">2025-12-30T13:53:00.0000000Z</dcterms:created>
  <dcterms:modified xsi:type="dcterms:W3CDTF">2025-12-30T13:57:06.6248935Z</dcterms:modified>
</coreProperties>
</file>