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Facilitator Guide: AGEJLE-OS Convening 2 – Open Tools, Resources, and Open Science Practice for Environmental Justice</w:t>
      </w:r>
    </w:p>
    <w:p>
      <w:pPr>
        <w:pStyle w:val="Heading2"/>
      </w:pPr>
      <w:r>
        <w:t>Aim and Purpose</w:t>
      </w:r>
    </w:p>
    <w:p>
      <w:r>
        <w:t>The aim of this convening is to build practical competence in the use of open tools, repositories, and research infrastructure that support environmental justice–focused, community-led research. Building on the foundations introduced in Convening 1, this session translates NASA TOPS Module 2 concepts into applied practices appropriate for EJ organizations, community researchers, and academic partners working in the Gulf Coast.</w:t>
      </w:r>
    </w:p>
    <w:p>
      <w:pPr>
        <w:pStyle w:val="Heading2"/>
      </w:pPr>
      <w:r>
        <w:t>Core Competencies Addressed</w:t>
      </w:r>
    </w:p>
    <w:p>
      <w:pPr>
        <w:pStyle w:val="ListBullet"/>
      </w:pPr>
      <w:r>
        <w:t>Ability to plan and describe open science and data management practices appropriate to EJ projects</w:t>
      </w:r>
    </w:p>
    <w:p>
      <w:pPr>
        <w:pStyle w:val="ListBullet"/>
      </w:pPr>
      <w:r>
        <w:t>Ability to select and use open tools and repositories strategically</w:t>
      </w:r>
    </w:p>
    <w:p>
      <w:pPr>
        <w:pStyle w:val="ListBullet"/>
      </w:pPr>
      <w:r>
        <w:t>Ability to apply FAIR principles in ways meaningful to communities</w:t>
      </w:r>
    </w:p>
    <w:p>
      <w:pPr>
        <w:pStyle w:val="ListBullet"/>
      </w:pPr>
      <w:r>
        <w:t>Ability to protect credit, authorship, and community contributions using persistent identifiers</w:t>
      </w:r>
    </w:p>
    <w:p>
      <w:pPr>
        <w:pStyle w:val="ListBullet"/>
      </w:pPr>
      <w:r>
        <w:t>Ability to document and share EJ research outputs for transparency and reuse</w:t>
      </w:r>
    </w:p>
    <w:p>
      <w:pPr>
        <w:pStyle w:val="ListBullet"/>
      </w:pPr>
      <w:r>
        <w:t>Ability to integrate open tools across the EJ research and action lifecycle</w:t>
      </w:r>
    </w:p>
    <w:p>
      <w:pPr>
        <w:pStyle w:val="Heading2"/>
      </w:pPr>
      <w:r>
        <w:t>Opening and Review of Convening 1 Foundations</w:t>
      </w:r>
    </w:p>
    <w:p>
      <w:r>
        <w:rPr>
          <w:b/>
        </w:rPr>
        <w:t xml:space="preserve">Purpose: </w:t>
      </w:r>
    </w:p>
    <w:p>
      <w:r>
        <w:t>Reconnect participants to open science foundations and establish continuity between convenings.</w:t>
      </w:r>
    </w:p>
    <w:p>
      <w:r>
        <w:rPr>
          <w:b/>
        </w:rPr>
        <w:t xml:space="preserve">Competencies developed: </w:t>
      </w:r>
    </w:p>
    <w:p>
      <w:pPr>
        <w:pStyle w:val="ListBullet"/>
      </w:pPr>
      <w:r>
        <w:t>Ability to recall and articulate core open science principles</w:t>
      </w:r>
    </w:p>
    <w:p>
      <w:pPr>
        <w:pStyle w:val="ListBullet"/>
      </w:pPr>
      <w:r>
        <w:t>Ability to situate tools within an EJ-focused open science framework</w:t>
      </w:r>
    </w:p>
    <w:p>
      <w:r>
        <w:rPr>
          <w:b/>
        </w:rPr>
        <w:t xml:space="preserve">Key activities: </w:t>
      </w:r>
    </w:p>
    <w:p>
      <w:pPr>
        <w:pStyle w:val="ListBullet"/>
      </w:pPr>
      <w:r>
        <w:t>Brief recap of Convening 1 themes</w:t>
      </w:r>
    </w:p>
    <w:p>
      <w:pPr>
        <w:pStyle w:val="ListBullet"/>
      </w:pPr>
      <w:r>
        <w:t>Participant reflections on application since the first convening</w:t>
      </w:r>
    </w:p>
    <w:p>
      <w:r>
        <w:rPr>
          <w:b/>
        </w:rPr>
        <w:t xml:space="preserve">Facilitation notes: </w:t>
      </w:r>
    </w:p>
    <w:p>
      <w:pPr>
        <w:pStyle w:val="ListBullet"/>
      </w:pPr>
      <w:r>
        <w:t>Validate uneven progress and varied levels of engagement</w:t>
      </w:r>
    </w:p>
    <w:p>
      <w:pPr>
        <w:pStyle w:val="ListBullet"/>
      </w:pPr>
      <w:r>
        <w:t>Reinforce learning as iterative</w:t>
      </w:r>
    </w:p>
    <w:p>
      <w:pPr>
        <w:pStyle w:val="Heading2"/>
      </w:pPr>
      <w:r>
        <w:t>Session 1: Open Science and Data Management Planning for EJ Projects</w:t>
      </w:r>
    </w:p>
    <w:p>
      <w:r>
        <w:rPr>
          <w:b/>
        </w:rPr>
        <w:t xml:space="preserve">Purpose: </w:t>
      </w:r>
    </w:p>
    <w:p>
      <w:r>
        <w:t>Introduce open science and data management planning as a practical tool rather than a compliance exercise.</w:t>
      </w:r>
    </w:p>
    <w:p>
      <w:r>
        <w:rPr>
          <w:b/>
        </w:rPr>
        <w:t xml:space="preserve">Competencies developed: </w:t>
      </w:r>
    </w:p>
    <w:p>
      <w:pPr>
        <w:pStyle w:val="ListBullet"/>
      </w:pPr>
      <w:r>
        <w:t>Ability to describe key elements of an open science and data management plan</w:t>
      </w:r>
    </w:p>
    <w:p>
      <w:pPr>
        <w:pStyle w:val="ListBullet"/>
      </w:pPr>
      <w:r>
        <w:t>Ability to adapt planning concepts to EJ organizational contexts</w:t>
      </w:r>
    </w:p>
    <w:p>
      <w:r>
        <w:rPr>
          <w:b/>
        </w:rPr>
        <w:t xml:space="preserve">Key activities: </w:t>
      </w:r>
    </w:p>
    <w:p>
      <w:pPr>
        <w:pStyle w:val="ListBullet"/>
      </w:pPr>
      <w:r>
        <w:t>Walkthrough of an OSDMP example</w:t>
      </w:r>
    </w:p>
    <w:p>
      <w:pPr>
        <w:pStyle w:val="ListBullet"/>
      </w:pPr>
      <w:r>
        <w:t>Discussion of planning for data, code, documentation, and outputs</w:t>
      </w:r>
    </w:p>
    <w:p>
      <w:r>
        <w:rPr>
          <w:b/>
        </w:rPr>
        <w:t xml:space="preserve">Facilitation notes: </w:t>
      </w:r>
    </w:p>
    <w:p>
      <w:pPr>
        <w:pStyle w:val="ListBullet"/>
      </w:pPr>
      <w:r>
        <w:t>Avoid jargon-heavy explanations</w:t>
      </w:r>
    </w:p>
    <w:p>
      <w:pPr>
        <w:pStyle w:val="ListBullet"/>
      </w:pPr>
      <w:r>
        <w:t>Emphasize usefulness for proposals and partnerships</w:t>
      </w:r>
    </w:p>
    <w:p>
      <w:pPr>
        <w:pStyle w:val="Heading2"/>
      </w:pPr>
      <w:r>
        <w:t>Session 2: FAIR Principles in Practice</w:t>
      </w:r>
    </w:p>
    <w:p>
      <w:r>
        <w:rPr>
          <w:b/>
        </w:rPr>
        <w:t xml:space="preserve">Purpose: </w:t>
      </w:r>
    </w:p>
    <w:p>
      <w:r>
        <w:t>Translate FAIR principles into concrete, EJ-relevant practices.</w:t>
      </w:r>
    </w:p>
    <w:p>
      <w:r>
        <w:rPr>
          <w:b/>
        </w:rPr>
        <w:t xml:space="preserve">Competencies developed: </w:t>
      </w:r>
    </w:p>
    <w:p>
      <w:pPr>
        <w:pStyle w:val="ListBullet"/>
      </w:pPr>
      <w:r>
        <w:t>Ability to explain FAIR principles in accessible language</w:t>
      </w:r>
    </w:p>
    <w:p>
      <w:pPr>
        <w:pStyle w:val="ListBullet"/>
      </w:pPr>
      <w:r>
        <w:t>Ability to assess whether EJ outputs are discoverable and reusable</w:t>
      </w:r>
    </w:p>
    <w:p>
      <w:r>
        <w:rPr>
          <w:b/>
        </w:rPr>
        <w:t xml:space="preserve">Key activities: </w:t>
      </w:r>
    </w:p>
    <w:p>
      <w:pPr>
        <w:pStyle w:val="ListBullet"/>
      </w:pPr>
      <w:r>
        <w:t>Review of examples illustrating findability and accessibility</w:t>
      </w:r>
    </w:p>
    <w:p>
      <w:pPr>
        <w:pStyle w:val="ListBullet"/>
      </w:pPr>
      <w:r>
        <w:t>Group discussion of reuse and interpretation risks</w:t>
      </w:r>
    </w:p>
    <w:p>
      <w:r>
        <w:rPr>
          <w:b/>
        </w:rPr>
        <w:t xml:space="preserve">Facilitation notes: </w:t>
      </w:r>
    </w:p>
    <w:p>
      <w:pPr>
        <w:pStyle w:val="ListBullet"/>
      </w:pPr>
      <w:r>
        <w:t>Center community interpretation needs</w:t>
      </w:r>
    </w:p>
    <w:p>
      <w:pPr>
        <w:pStyle w:val="ListBullet"/>
      </w:pPr>
      <w:r>
        <w:t>Acknowledge limits of full openness</w:t>
      </w:r>
    </w:p>
    <w:p>
      <w:pPr>
        <w:pStyle w:val="Heading2"/>
      </w:pPr>
      <w:r>
        <w:t>Session 3: Protecting Credit and Community Contributions</w:t>
      </w:r>
    </w:p>
    <w:p>
      <w:r>
        <w:rPr>
          <w:b/>
        </w:rPr>
        <w:t xml:space="preserve">Purpose: </w:t>
      </w:r>
    </w:p>
    <w:p>
      <w:r>
        <w:t>Demonstrate how persistent identifiers support credit, authorship, and accountability.</w:t>
      </w:r>
    </w:p>
    <w:p>
      <w:r>
        <w:rPr>
          <w:b/>
        </w:rPr>
        <w:t xml:space="preserve">Competencies developed: </w:t>
      </w:r>
    </w:p>
    <w:p>
      <w:pPr>
        <w:pStyle w:val="ListBullet"/>
      </w:pPr>
      <w:r>
        <w:t>Ability to explain the role of ORCID and DOIs</w:t>
      </w:r>
    </w:p>
    <w:p>
      <w:pPr>
        <w:pStyle w:val="ListBullet"/>
      </w:pPr>
      <w:r>
        <w:t>Ability to use identifiers to protect EJ research contributions</w:t>
      </w:r>
    </w:p>
    <w:p>
      <w:r>
        <w:rPr>
          <w:b/>
        </w:rPr>
        <w:t xml:space="preserve">Key activities: </w:t>
      </w:r>
    </w:p>
    <w:p>
      <w:pPr>
        <w:pStyle w:val="ListBullet"/>
      </w:pPr>
      <w:r>
        <w:t>ORCID overview and registration discussion</w:t>
      </w:r>
    </w:p>
    <w:p>
      <w:pPr>
        <w:pStyle w:val="ListBullet"/>
      </w:pPr>
      <w:r>
        <w:t>Examples of DOI use for reports and curricula</w:t>
      </w:r>
    </w:p>
    <w:p>
      <w:r>
        <w:rPr>
          <w:b/>
        </w:rPr>
        <w:t xml:space="preserve">Facilitation notes: </w:t>
      </w:r>
    </w:p>
    <w:p>
      <w:pPr>
        <w:pStyle w:val="ListBullet"/>
      </w:pPr>
      <w:r>
        <w:t>Frame identifiers as protection, not bureaucracy</w:t>
      </w:r>
    </w:p>
    <w:p>
      <w:pPr>
        <w:pStyle w:val="ListBullet"/>
      </w:pPr>
      <w:r>
        <w:t>Link to past experiences of appropriation</w:t>
      </w:r>
    </w:p>
    <w:p>
      <w:pPr>
        <w:pStyle w:val="Heading2"/>
      </w:pPr>
      <w:r>
        <w:t>Session 4: Repositories, Archives, and Practical Choices</w:t>
      </w:r>
    </w:p>
    <w:p>
      <w:r>
        <w:rPr>
          <w:b/>
        </w:rPr>
        <w:t xml:space="preserve">Purpose: </w:t>
      </w:r>
    </w:p>
    <w:p>
      <w:r>
        <w:t>Support informed selection of platforms for sharing EJ research outputs.</w:t>
      </w:r>
    </w:p>
    <w:p>
      <w:r>
        <w:rPr>
          <w:b/>
        </w:rPr>
        <w:t xml:space="preserve">Competencies developed: </w:t>
      </w:r>
    </w:p>
    <w:p>
      <w:pPr>
        <w:pStyle w:val="ListBullet"/>
      </w:pPr>
      <w:r>
        <w:t>Ability to distinguish repositories from archives</w:t>
      </w:r>
    </w:p>
    <w:p>
      <w:pPr>
        <w:pStyle w:val="ListBullet"/>
      </w:pPr>
      <w:r>
        <w:t>Ability to select appropriate platforms based on EJ needs</w:t>
      </w:r>
    </w:p>
    <w:p>
      <w:r>
        <w:rPr>
          <w:b/>
        </w:rPr>
        <w:t xml:space="preserve">Key activities: </w:t>
      </w:r>
    </w:p>
    <w:p>
      <w:pPr>
        <w:pStyle w:val="ListBullet"/>
      </w:pPr>
      <w:r>
        <w:t>Comparison of Zenodo, institutional repositories, and local storage</w:t>
      </w:r>
    </w:p>
    <w:p>
      <w:pPr>
        <w:pStyle w:val="ListBullet"/>
      </w:pPr>
      <w:r>
        <w:t>Hands-on demonstration of Zenodo upload</w:t>
      </w:r>
    </w:p>
    <w:p>
      <w:r>
        <w:rPr>
          <w:b/>
        </w:rPr>
        <w:t xml:space="preserve">Facilitation notes: </w:t>
      </w:r>
    </w:p>
    <w:p>
      <w:pPr>
        <w:pStyle w:val="ListBullet"/>
      </w:pPr>
      <w:r>
        <w:t>Emphasize ease of use and control</w:t>
      </w:r>
    </w:p>
    <w:p>
      <w:pPr>
        <w:pStyle w:val="ListBullet"/>
      </w:pPr>
      <w:r>
        <w:t>Avoid overwhelming participants with options</w:t>
      </w:r>
    </w:p>
    <w:p>
      <w:pPr>
        <w:pStyle w:val="Heading2"/>
      </w:pPr>
      <w:r>
        <w:t>Session 5: Metadata and Discovery Beyond Academia</w:t>
      </w:r>
    </w:p>
    <w:p>
      <w:r>
        <w:rPr>
          <w:b/>
        </w:rPr>
        <w:t xml:space="preserve">Purpose: </w:t>
      </w:r>
    </w:p>
    <w:p>
      <w:r>
        <w:t>Highlight metadata and discovery tools as mechanisms for visibility and credibility.</w:t>
      </w:r>
    </w:p>
    <w:p>
      <w:r>
        <w:rPr>
          <w:b/>
        </w:rPr>
        <w:t xml:space="preserve">Competencies developed: </w:t>
      </w:r>
    </w:p>
    <w:p>
      <w:pPr>
        <w:pStyle w:val="ListBullet"/>
      </w:pPr>
      <w:r>
        <w:t>Ability to identify essential metadata elements</w:t>
      </w:r>
    </w:p>
    <w:p>
      <w:pPr>
        <w:pStyle w:val="ListBullet"/>
      </w:pPr>
      <w:r>
        <w:t>Ability to locate EJ-relevant data and research</w:t>
      </w:r>
    </w:p>
    <w:p>
      <w:r>
        <w:rPr>
          <w:b/>
        </w:rPr>
        <w:t xml:space="preserve">Key activities: </w:t>
      </w:r>
    </w:p>
    <w:p>
      <w:pPr>
        <w:pStyle w:val="ListBullet"/>
      </w:pPr>
      <w:r>
        <w:t>Review of metadata examples</w:t>
      </w:r>
    </w:p>
    <w:p>
      <w:pPr>
        <w:pStyle w:val="ListBullet"/>
      </w:pPr>
      <w:r>
        <w:t>Exploration of discovery tools including grey literature sources</w:t>
      </w:r>
    </w:p>
    <w:p>
      <w:r>
        <w:rPr>
          <w:b/>
        </w:rPr>
        <w:t xml:space="preserve">Facilitation notes: </w:t>
      </w:r>
    </w:p>
    <w:p>
      <w:pPr>
        <w:pStyle w:val="ListBullet"/>
      </w:pPr>
      <w:r>
        <w:t>Stress clarity over technical completeness</w:t>
      </w:r>
    </w:p>
    <w:p>
      <w:pPr>
        <w:pStyle w:val="ListBullet"/>
      </w:pPr>
      <w:r>
        <w:t>Highlight community audiences</w:t>
      </w:r>
    </w:p>
    <w:p>
      <w:pPr>
        <w:pStyle w:val="Heading2"/>
      </w:pPr>
      <w:r>
        <w:t>Session 6: Open Tools Across the EJ Research Lifecycle</w:t>
      </w:r>
    </w:p>
    <w:p>
      <w:r>
        <w:rPr>
          <w:b/>
        </w:rPr>
        <w:t xml:space="preserve">Purpose: </w:t>
      </w:r>
    </w:p>
    <w:p>
      <w:r>
        <w:t>Integrate tools and practices into a coherent EJ research and action workflow.</w:t>
      </w:r>
    </w:p>
    <w:p>
      <w:r>
        <w:rPr>
          <w:b/>
        </w:rPr>
        <w:t xml:space="preserve">Competencies developed: </w:t>
      </w:r>
    </w:p>
    <w:p>
      <w:pPr>
        <w:pStyle w:val="ListBullet"/>
      </w:pPr>
      <w:r>
        <w:t>Ability to align tools with stages of EJ research and advocacy</w:t>
      </w:r>
    </w:p>
    <w:p>
      <w:pPr>
        <w:pStyle w:val="ListBullet"/>
      </w:pPr>
      <w:r>
        <w:t>Ability to conceptualize GitHub as documentation infrastructure</w:t>
      </w:r>
    </w:p>
    <w:p>
      <w:r>
        <w:rPr>
          <w:b/>
        </w:rPr>
        <w:t xml:space="preserve">Key activities: </w:t>
      </w:r>
    </w:p>
    <w:p>
      <w:pPr>
        <w:pStyle w:val="ListBullet"/>
      </w:pPr>
      <w:r>
        <w:t>Mapping tools to EJ project stages</w:t>
      </w:r>
    </w:p>
    <w:p>
      <w:pPr>
        <w:pStyle w:val="ListBullet"/>
      </w:pPr>
      <w:r>
        <w:t>Discussion of GitHub for transparency and collaboration</w:t>
      </w:r>
    </w:p>
    <w:p>
      <w:r>
        <w:rPr>
          <w:b/>
        </w:rPr>
        <w:t xml:space="preserve">Facilitation notes: </w:t>
      </w:r>
    </w:p>
    <w:p>
      <w:pPr>
        <w:pStyle w:val="ListBullet"/>
      </w:pPr>
      <w:r>
        <w:t>De-emphasize coding requirements</w:t>
      </w:r>
    </w:p>
    <w:p>
      <w:pPr>
        <w:pStyle w:val="ListBullet"/>
      </w:pPr>
      <w:r>
        <w:t>Focus on documentation and openness</w:t>
      </w:r>
    </w:p>
    <w:p>
      <w:pPr>
        <w:pStyle w:val="Heading2"/>
      </w:pPr>
      <w:r>
        <w:t>Closing and Next Steps</w:t>
      </w:r>
    </w:p>
    <w:p>
      <w:r>
        <w:rPr>
          <w:b/>
        </w:rPr>
        <w:t xml:space="preserve">Purpose: </w:t>
      </w:r>
    </w:p>
    <w:p>
      <w:r>
        <w:t>Consolidate learning and identify follow-on actions and support needs.</w:t>
      </w:r>
    </w:p>
    <w:p>
      <w:r>
        <w:rPr>
          <w:b/>
        </w:rPr>
        <w:t xml:space="preserve">Competencies developed: </w:t>
      </w:r>
    </w:p>
    <w:p>
      <w:pPr>
        <w:pStyle w:val="ListBullet"/>
      </w:pPr>
      <w:r>
        <w:t>Ability to identify next steps for applying open tools</w:t>
      </w:r>
    </w:p>
    <w:p>
      <w:pPr>
        <w:pStyle w:val="ListBullet"/>
      </w:pPr>
      <w:r>
        <w:t>Ability to articulate remaining barriers and support needs</w:t>
      </w:r>
    </w:p>
    <w:p>
      <w:r>
        <w:rPr>
          <w:b/>
        </w:rPr>
        <w:t xml:space="preserve">Key activities: </w:t>
      </w:r>
    </w:p>
    <w:p>
      <w:pPr>
        <w:pStyle w:val="ListBullet"/>
      </w:pPr>
      <w:r>
        <w:t>Group reflection on readiness to use tools</w:t>
      </w:r>
    </w:p>
    <w:p>
      <w:pPr>
        <w:pStyle w:val="ListBullet"/>
      </w:pPr>
      <w:r>
        <w:t>Identification of follow-up training or support</w:t>
      </w:r>
    </w:p>
    <w:p>
      <w:r>
        <w:rPr>
          <w:b/>
        </w:rPr>
        <w:t xml:space="preserve">Facilitation notes: </w:t>
      </w:r>
    </w:p>
    <w:p>
      <w:pPr>
        <w:pStyle w:val="ListBullet"/>
      </w:pPr>
      <w:r>
        <w:t>Capture concrete commitments</w:t>
      </w:r>
    </w:p>
    <w:p>
      <w:pPr>
        <w:pStyle w:val="ListBullet"/>
      </w:pPr>
      <w:r>
        <w:t>Normalize partial adoption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