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4271D59" wp14:textId="77777777">
      <w:pPr>
        <w:pStyle w:val="Heading1"/>
      </w:pPr>
      <w:r>
        <w:t>TOPS Module 2 Competency Mapping – AGEJLE-OS Convening 2 Adaptation</w:t>
      </w:r>
    </w:p>
    <w:p xmlns:wp14="http://schemas.microsoft.com/office/word/2010/wordml" w14:paraId="6DDD8246" wp14:textId="09C7469E">
      <w:r w:rsidR="59D71CCF">
        <w:rPr/>
        <w:t>This table documents how NASA TOPS Open Science 101 Module 2 (Open Tools and Resources) was adapted for delivery during the second AGEJLE-OS convening. The adaptation emphasizes applied competence for environmental justice organizations and community researchers.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59D71CCF" w14:paraId="3F520189" wp14:textId="77777777">
        <w:tc>
          <w:tcPr>
            <w:tcW w:w="1728" w:type="dxa"/>
            <w:tcMar/>
          </w:tcPr>
          <w:p w14:paraId="58BE8D97" wp14:textId="77777777">
            <w:r>
              <w:t>TOPS Module 2 Core Topic</w:t>
            </w:r>
          </w:p>
        </w:tc>
        <w:tc>
          <w:tcPr>
            <w:tcW w:w="1728" w:type="dxa"/>
            <w:tcMar/>
          </w:tcPr>
          <w:p w14:paraId="4EE213ED" wp14:textId="77777777">
            <w:r>
              <w:t>TOPS Intended Competency</w:t>
            </w:r>
          </w:p>
        </w:tc>
        <w:tc>
          <w:tcPr>
            <w:tcW w:w="1728" w:type="dxa"/>
            <w:tcMar/>
          </w:tcPr>
          <w:p w14:paraId="69205C36" wp14:textId="77777777">
            <w:r>
              <w:t>Standard TOPS Framing</w:t>
            </w:r>
          </w:p>
        </w:tc>
        <w:tc>
          <w:tcPr>
            <w:tcW w:w="1728" w:type="dxa"/>
            <w:tcMar/>
          </w:tcPr>
          <w:p w14:paraId="57BDD3BF" wp14:textId="77777777">
            <w:r>
              <w:t>AGEJLE-OS Convening Adaptation</w:t>
            </w:r>
          </w:p>
        </w:tc>
        <w:tc>
          <w:tcPr>
            <w:tcW w:w="1728" w:type="dxa"/>
            <w:tcMar/>
          </w:tcPr>
          <w:p w14:paraId="737E7829" wp14:textId="77777777">
            <w:r>
              <w:t>Applied EJ Competency Emphasis</w:t>
            </w:r>
          </w:p>
        </w:tc>
      </w:tr>
      <w:tr xmlns:wp14="http://schemas.microsoft.com/office/word/2010/wordml" w:rsidTr="59D71CCF" w14:paraId="04B4183B" wp14:textId="77777777">
        <w:tc>
          <w:tcPr>
            <w:tcW w:w="1728" w:type="dxa"/>
            <w:tcMar/>
          </w:tcPr>
          <w:p w14:paraId="68E3B5B4" wp14:textId="77777777">
            <w:r>
              <w:t>Open Science Planning (OSDMP)</w:t>
            </w:r>
          </w:p>
        </w:tc>
        <w:tc>
          <w:tcPr>
            <w:tcW w:w="1728" w:type="dxa"/>
            <w:tcMar/>
          </w:tcPr>
          <w:p w14:paraId="4BA186C6" wp14:textId="77777777">
            <w:r>
              <w:t>Understand the purpose and components of an Open Science and Data Management Plan.</w:t>
            </w:r>
          </w:p>
        </w:tc>
        <w:tc>
          <w:tcPr>
            <w:tcW w:w="1728" w:type="dxa"/>
            <w:tcMar/>
          </w:tcPr>
          <w:p w14:paraId="3804134B" wp14:textId="77777777">
            <w:r>
              <w:t>Formal planning requirement for funded research projects.</w:t>
            </w:r>
          </w:p>
        </w:tc>
        <w:tc>
          <w:tcPr>
            <w:tcW w:w="1728" w:type="dxa"/>
            <w:tcMar/>
          </w:tcPr>
          <w:p w14:paraId="73ACAC05" wp14:textId="77777777">
            <w:r>
              <w:t>Reframed as a practical planning tool for community-led research and proposals, using AGEJLE-OS and EJ CORE examples.</w:t>
            </w:r>
          </w:p>
        </w:tc>
        <w:tc>
          <w:tcPr>
            <w:tcW w:w="1728" w:type="dxa"/>
            <w:tcMar/>
          </w:tcPr>
          <w:p w14:paraId="58271A9B" wp14:textId="77777777">
            <w:r>
              <w:t>Ability to articulate an open science plan appropriate to EJ projects, funding proposals, and advocacy contexts.</w:t>
            </w:r>
          </w:p>
        </w:tc>
      </w:tr>
      <w:tr xmlns:wp14="http://schemas.microsoft.com/office/word/2010/wordml" w:rsidTr="59D71CCF" w14:paraId="0E2F717A" wp14:textId="77777777">
        <w:tc>
          <w:tcPr>
            <w:tcW w:w="1728" w:type="dxa"/>
            <w:tcMar/>
          </w:tcPr>
          <w:p w14:paraId="62277B71" wp14:textId="77777777">
            <w:r>
              <w:t>FAIR Principles</w:t>
            </w:r>
          </w:p>
        </w:tc>
        <w:tc>
          <w:tcPr>
            <w:tcW w:w="1728" w:type="dxa"/>
            <w:tcMar/>
          </w:tcPr>
          <w:p w14:paraId="00DD7B44" wp14:textId="77777777">
            <w:r>
              <w:t>Explain the FAIR principles and their relevance to research products.</w:t>
            </w:r>
          </w:p>
        </w:tc>
        <w:tc>
          <w:tcPr>
            <w:tcW w:w="1728" w:type="dxa"/>
            <w:tcMar/>
          </w:tcPr>
          <w:p w14:paraId="522A8E62" wp14:textId="77777777">
            <w:r>
              <w:t>Abstract data stewardship framework.</w:t>
            </w:r>
          </w:p>
        </w:tc>
        <w:tc>
          <w:tcPr>
            <w:tcW w:w="1728" w:type="dxa"/>
            <w:tcMar/>
          </w:tcPr>
          <w:p w14:paraId="5A915B6B" wp14:textId="77777777">
            <w:r>
              <w:t>Discussed through concrete examples of EJ data reuse, discoverability, and credibility in contested policy settings.</w:t>
            </w:r>
          </w:p>
        </w:tc>
        <w:tc>
          <w:tcPr>
            <w:tcW w:w="1728" w:type="dxa"/>
            <w:tcMar/>
          </w:tcPr>
          <w:p w14:paraId="0128E36E" wp14:textId="77777777">
            <w:r>
              <w:t>Ability to assess whether EJ research outputs are findable, accessible, interpretable, and reusable by communities.</w:t>
            </w:r>
          </w:p>
        </w:tc>
      </w:tr>
      <w:tr xmlns:wp14="http://schemas.microsoft.com/office/word/2010/wordml" w:rsidTr="59D71CCF" w14:paraId="0DA0A906" wp14:textId="77777777">
        <w:tc>
          <w:tcPr>
            <w:tcW w:w="1728" w:type="dxa"/>
            <w:tcMar/>
          </w:tcPr>
          <w:p w14:paraId="5C1A593A" wp14:textId="77777777">
            <w:r>
              <w:t>Persistent Identifiers (ORCID, DOI)</w:t>
            </w:r>
          </w:p>
        </w:tc>
        <w:tc>
          <w:tcPr>
            <w:tcW w:w="1728" w:type="dxa"/>
            <w:tcMar/>
          </w:tcPr>
          <w:p w14:paraId="678FB389" wp14:textId="77777777">
            <w:r>
              <w:t>Understand the role of persistent identifiers in open research.</w:t>
            </w:r>
          </w:p>
        </w:tc>
        <w:tc>
          <w:tcPr>
            <w:tcW w:w="1728" w:type="dxa"/>
            <w:tcMar/>
          </w:tcPr>
          <w:p w14:paraId="74E5E0BE" wp14:textId="77777777">
            <w:r>
              <w:t>Research attribution and citation framing.</w:t>
            </w:r>
          </w:p>
        </w:tc>
        <w:tc>
          <w:tcPr>
            <w:tcW w:w="1728" w:type="dxa"/>
            <w:tcMar/>
          </w:tcPr>
          <w:p w14:paraId="0FF53896" wp14:textId="77777777">
            <w:r>
              <w:t>Emphasized as tools for protecting credit, documenting community contributions, and establishing legitimacy.</w:t>
            </w:r>
          </w:p>
        </w:tc>
        <w:tc>
          <w:tcPr>
            <w:tcW w:w="1728" w:type="dxa"/>
            <w:tcMar/>
          </w:tcPr>
          <w:p w14:paraId="27B0B2DF" wp14:textId="77777777">
            <w:r>
              <w:t>Ability to use ORCID and DOIs to protect authorship and community ownership of research outputs.</w:t>
            </w:r>
          </w:p>
        </w:tc>
      </w:tr>
      <w:tr xmlns:wp14="http://schemas.microsoft.com/office/word/2010/wordml" w:rsidTr="59D71CCF" w14:paraId="50E74D43" wp14:textId="77777777">
        <w:tc>
          <w:tcPr>
            <w:tcW w:w="1728" w:type="dxa"/>
            <w:tcMar/>
          </w:tcPr>
          <w:p w14:paraId="1C673D72" wp14:textId="77777777">
            <w:r>
              <w:t>Repositories vs Archives</w:t>
            </w:r>
          </w:p>
        </w:tc>
        <w:tc>
          <w:tcPr>
            <w:tcW w:w="1728" w:type="dxa"/>
            <w:tcMar/>
          </w:tcPr>
          <w:p w14:paraId="7139CD0D" wp14:textId="77777777">
            <w:r>
              <w:t>Distinguish types of repositories and their purposes.</w:t>
            </w:r>
          </w:p>
        </w:tc>
        <w:tc>
          <w:tcPr>
            <w:tcW w:w="1728" w:type="dxa"/>
            <w:tcMar/>
          </w:tcPr>
          <w:p w14:paraId="0E7F6B61" wp14:textId="77777777">
            <w:r>
              <w:t>Technical classification of repository types.</w:t>
            </w:r>
          </w:p>
        </w:tc>
        <w:tc>
          <w:tcPr>
            <w:tcW w:w="1728" w:type="dxa"/>
            <w:tcMar/>
          </w:tcPr>
          <w:p w14:paraId="2E149E19" wp14:textId="77777777">
            <w:r>
              <w:t>Framed around practical choices for EJ organizations: visibility, control, cost, and ease of use.</w:t>
            </w:r>
          </w:p>
        </w:tc>
        <w:tc>
          <w:tcPr>
            <w:tcW w:w="1728" w:type="dxa"/>
            <w:tcMar/>
          </w:tcPr>
          <w:p w14:paraId="359ED682" wp14:textId="77777777">
            <w:r>
              <w:t>Ability to select appropriate repositories for EJ data, reports, and advocacy materials.</w:t>
            </w:r>
          </w:p>
        </w:tc>
      </w:tr>
      <w:tr xmlns:wp14="http://schemas.microsoft.com/office/word/2010/wordml" w:rsidTr="59D71CCF" w14:paraId="0633DD47" wp14:textId="77777777">
        <w:tc>
          <w:tcPr>
            <w:tcW w:w="1728" w:type="dxa"/>
            <w:tcMar/>
          </w:tcPr>
          <w:p w14:paraId="124C1740" wp14:textId="77777777">
            <w:r>
              <w:t>Zenodo Demonstration</w:t>
            </w:r>
          </w:p>
        </w:tc>
        <w:tc>
          <w:tcPr>
            <w:tcW w:w="1728" w:type="dxa"/>
            <w:tcMar/>
          </w:tcPr>
          <w:p w14:paraId="7BA24829" wp14:textId="77777777">
            <w:r>
              <w:t>Understand how to archive and share research products.</w:t>
            </w:r>
          </w:p>
        </w:tc>
        <w:tc>
          <w:tcPr>
            <w:tcW w:w="1728" w:type="dxa"/>
            <w:tcMar/>
          </w:tcPr>
          <w:p w14:paraId="33A17498" wp14:textId="77777777">
            <w:r>
              <w:t>General-purpose open repository demonstration.</w:t>
            </w:r>
          </w:p>
        </w:tc>
        <w:tc>
          <w:tcPr>
            <w:tcW w:w="1728" w:type="dxa"/>
            <w:tcMar/>
          </w:tcPr>
          <w:p w14:paraId="58D8245D" wp14:textId="77777777">
            <w:r>
              <w:t>Hands-on demonstration focused on sharing EJ-relevant outputs such as slides, reports, and curricula.</w:t>
            </w:r>
          </w:p>
        </w:tc>
        <w:tc>
          <w:tcPr>
            <w:tcW w:w="1728" w:type="dxa"/>
            <w:tcMar/>
          </w:tcPr>
          <w:p w14:paraId="6CAF3E09" wp14:textId="77777777">
            <w:r>
              <w:t>Ability to archive EJ research outputs openly with appropriate metadata and attribution.</w:t>
            </w:r>
          </w:p>
        </w:tc>
      </w:tr>
      <w:tr xmlns:wp14="http://schemas.microsoft.com/office/word/2010/wordml" w:rsidTr="59D71CCF" w14:paraId="520E61C7" wp14:textId="77777777">
        <w:tc>
          <w:tcPr>
            <w:tcW w:w="1728" w:type="dxa"/>
            <w:tcMar/>
          </w:tcPr>
          <w:p w14:paraId="129DE35B" wp14:textId="77777777">
            <w:r>
              <w:t>Metadata</w:t>
            </w:r>
          </w:p>
        </w:tc>
        <w:tc>
          <w:tcPr>
            <w:tcW w:w="1728" w:type="dxa"/>
            <w:tcMar/>
          </w:tcPr>
          <w:p w14:paraId="311FF443" wp14:textId="77777777">
            <w:r>
              <w:t>Understand the role of metadata in making research FAIR.</w:t>
            </w:r>
          </w:p>
        </w:tc>
        <w:tc>
          <w:tcPr>
            <w:tcW w:w="1728" w:type="dxa"/>
            <w:tcMar/>
          </w:tcPr>
          <w:p w14:paraId="654BF2A2" wp14:textId="77777777">
            <w:r>
              <w:t>Technical description of metadata standards.</w:t>
            </w:r>
          </w:p>
        </w:tc>
        <w:tc>
          <w:tcPr>
            <w:tcW w:w="1728" w:type="dxa"/>
            <w:tcMar/>
          </w:tcPr>
          <w:p w14:paraId="44A05275" wp14:textId="77777777">
            <w:r>
              <w:t>Explored through guided discussion of real datasets, focusing on meaning, context, and interpretation.</w:t>
            </w:r>
          </w:p>
        </w:tc>
        <w:tc>
          <w:tcPr>
            <w:tcW w:w="1728" w:type="dxa"/>
            <w:tcMar/>
          </w:tcPr>
          <w:p w14:paraId="24EFD307" wp14:textId="77777777">
            <w:r>
              <w:t>Ability to recognize and describe essential metadata needed for EJ data reuse and interpretation.</w:t>
            </w:r>
          </w:p>
        </w:tc>
      </w:tr>
      <w:tr xmlns:wp14="http://schemas.microsoft.com/office/word/2010/wordml" w:rsidTr="59D71CCF" w14:paraId="01E6BF5D" wp14:textId="77777777">
        <w:tc>
          <w:tcPr>
            <w:tcW w:w="1728" w:type="dxa"/>
            <w:tcMar/>
          </w:tcPr>
          <w:p w14:paraId="5ADF52E2" wp14:textId="77777777">
            <w:r>
              <w:t>Discovery Tools</w:t>
            </w:r>
          </w:p>
        </w:tc>
        <w:tc>
          <w:tcPr>
            <w:tcW w:w="1728" w:type="dxa"/>
            <w:tcMar/>
          </w:tcPr>
          <w:p w14:paraId="0750B79D" wp14:textId="77777777">
            <w:r>
              <w:t>Identify tools for discovering existing research and data.</w:t>
            </w:r>
          </w:p>
        </w:tc>
        <w:tc>
          <w:tcPr>
            <w:tcW w:w="1728" w:type="dxa"/>
            <w:tcMar/>
          </w:tcPr>
          <w:p w14:paraId="2418792D" wp14:textId="77777777">
            <w:r>
              <w:t>Literature and data discovery for academic research.</w:t>
            </w:r>
          </w:p>
        </w:tc>
        <w:tc>
          <w:tcPr>
            <w:tcW w:w="1728" w:type="dxa"/>
            <w:tcMar/>
          </w:tcPr>
          <w:p w14:paraId="17448353" wp14:textId="77777777">
            <w:r>
              <w:t>Extended to include grey literature, community reports, and public data portals relevant to EJ work.</w:t>
            </w:r>
          </w:p>
        </w:tc>
        <w:tc>
          <w:tcPr>
            <w:tcW w:w="1728" w:type="dxa"/>
            <w:tcMar/>
          </w:tcPr>
          <w:p w14:paraId="763AC569" wp14:textId="77777777">
            <w:r>
              <w:t>Ability to locate relevant data and research beyond traditional academic sources.</w:t>
            </w:r>
          </w:p>
        </w:tc>
      </w:tr>
      <w:tr xmlns:wp14="http://schemas.microsoft.com/office/word/2010/wordml" w:rsidTr="59D71CCF" w14:paraId="4965DEDC" wp14:textId="77777777">
        <w:tc>
          <w:tcPr>
            <w:tcW w:w="1728" w:type="dxa"/>
            <w:tcMar/>
          </w:tcPr>
          <w:p w14:paraId="2D3CBFD6" wp14:textId="77777777">
            <w:r>
              <w:t>Version Control and Collaboration Tools</w:t>
            </w:r>
          </w:p>
        </w:tc>
        <w:tc>
          <w:tcPr>
            <w:tcW w:w="1728" w:type="dxa"/>
            <w:tcMar/>
          </w:tcPr>
          <w:p w14:paraId="5F09A379" wp14:textId="77777777">
            <w:r>
              <w:t>Understand basic concepts of version control and collaborative development.</w:t>
            </w:r>
          </w:p>
        </w:tc>
        <w:tc>
          <w:tcPr>
            <w:tcW w:w="1728" w:type="dxa"/>
            <w:tcMar/>
          </w:tcPr>
          <w:p w14:paraId="526A70C3" wp14:textId="77777777">
            <w:r>
              <w:t>Software development best practices.</w:t>
            </w:r>
          </w:p>
        </w:tc>
        <w:tc>
          <w:tcPr>
            <w:tcW w:w="1728" w:type="dxa"/>
            <w:tcMar/>
          </w:tcPr>
          <w:p w14:paraId="60BE7FD7" wp14:textId="77777777">
            <w:r>
              <w:t>Reframed as documentation and collaboration tools, not coding requirements.</w:t>
            </w:r>
          </w:p>
        </w:tc>
        <w:tc>
          <w:tcPr>
            <w:tcW w:w="1728" w:type="dxa"/>
            <w:tcMar/>
          </w:tcPr>
          <w:p w14:paraId="70E4AC4D" wp14:textId="77777777">
            <w:r>
              <w:t>Ability to use GitHub conceptually as a transparency and collaboration platform.</w:t>
            </w:r>
          </w:p>
        </w:tc>
      </w:tr>
      <w:tr xmlns:wp14="http://schemas.microsoft.com/office/word/2010/wordml" w:rsidTr="59D71CCF" w14:paraId="42AC46C5" wp14:textId="77777777">
        <w:tc>
          <w:tcPr>
            <w:tcW w:w="1728" w:type="dxa"/>
            <w:tcMar/>
          </w:tcPr>
          <w:p w14:paraId="26DB4788" wp14:textId="77777777">
            <w:r>
              <w:t>Reference Management Systems</w:t>
            </w:r>
          </w:p>
        </w:tc>
        <w:tc>
          <w:tcPr>
            <w:tcW w:w="1728" w:type="dxa"/>
            <w:tcMar/>
          </w:tcPr>
          <w:p w14:paraId="60248A71" wp14:textId="77777777">
            <w:r>
              <w:t>Recognize tools for managing references.</w:t>
            </w:r>
          </w:p>
        </w:tc>
        <w:tc>
          <w:tcPr>
            <w:tcW w:w="1728" w:type="dxa"/>
            <w:tcMar/>
          </w:tcPr>
          <w:p w14:paraId="008687EF" wp14:textId="77777777">
            <w:r>
              <w:t>Academic citation management framing.</w:t>
            </w:r>
          </w:p>
        </w:tc>
        <w:tc>
          <w:tcPr>
            <w:tcW w:w="1728" w:type="dxa"/>
            <w:tcMar/>
          </w:tcPr>
          <w:p w14:paraId="00AFBC89" wp14:textId="77777777">
            <w:r>
              <w:t>Positioned as tools for transparency, credibility, and proposal development rather than publication alone.</w:t>
            </w:r>
          </w:p>
        </w:tc>
        <w:tc>
          <w:tcPr>
            <w:tcW w:w="1728" w:type="dxa"/>
            <w:tcMar/>
          </w:tcPr>
          <w:p w14:paraId="093BE2F2" wp14:textId="77777777">
            <w:r>
              <w:t>Ability to organize and cite evidence clearly in EJ research and proposals.</w:t>
            </w:r>
          </w:p>
        </w:tc>
      </w:tr>
      <w:tr xmlns:wp14="http://schemas.microsoft.com/office/word/2010/wordml" w:rsidTr="59D71CCF" w14:paraId="7020BC0C" wp14:textId="77777777">
        <w:tc>
          <w:tcPr>
            <w:tcW w:w="1728" w:type="dxa"/>
            <w:tcMar/>
          </w:tcPr>
          <w:p w14:paraId="0E036B1E" wp14:textId="77777777">
            <w:r>
              <w:t>Open Tools Across the Research Lifecycle</w:t>
            </w:r>
          </w:p>
        </w:tc>
        <w:tc>
          <w:tcPr>
            <w:tcW w:w="1728" w:type="dxa"/>
            <w:tcMar/>
          </w:tcPr>
          <w:p w14:paraId="76EC3DF6" wp14:textId="77777777">
            <w:r>
              <w:t>Understand how tools support different research stages.</w:t>
            </w:r>
          </w:p>
        </w:tc>
        <w:tc>
          <w:tcPr>
            <w:tcW w:w="1728" w:type="dxa"/>
            <w:tcMar/>
          </w:tcPr>
          <w:p w14:paraId="6A934ED7" wp14:textId="77777777">
            <w:r>
              <w:t>Linear academic research workflow.</w:t>
            </w:r>
          </w:p>
        </w:tc>
        <w:tc>
          <w:tcPr>
            <w:tcW w:w="1728" w:type="dxa"/>
            <w:tcMar/>
          </w:tcPr>
          <w:p w14:paraId="4BE024A5" wp14:textId="77777777">
            <w:r>
              <w:t>Mapped to EJ research lifecycles: problem identification, evidence building, advocacy, and action.</w:t>
            </w:r>
          </w:p>
        </w:tc>
        <w:tc>
          <w:tcPr>
            <w:tcW w:w="1728" w:type="dxa"/>
            <w:tcMar/>
          </w:tcPr>
          <w:p w14:paraId="6EA995A1" wp14:textId="77777777">
            <w:r>
              <w:t>Ability to align open tools with EJ research and action workflows.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D7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4B1CD13-9D21-4769-B164-5AB589B907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Morrow, Nathan L</lastModifiedBy>
  <revision>2</revision>
  <dcterms:created xsi:type="dcterms:W3CDTF">2013-12-23T23:15:00.0000000Z</dcterms:created>
  <dcterms:modified xsi:type="dcterms:W3CDTF">2025-12-30T10:14:11.9831181Z</dcterms:modified>
  <category/>
</coreProperties>
</file>