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Structuring a Repository for Community-Engaged Research</w:t>
      </w:r>
    </w:p>
    <w:p>
      <w:r>
        <w:rPr>
          <w:b/>
        </w:rPr>
        <w:t>Purpose</w:t>
      </w:r>
    </w:p>
    <w:p>
      <w:r>
        <w:t>Consistent repository structure lowers barriers for non-technical users.</w:t>
      </w:r>
    </w:p>
    <w:p>
      <w:r>
        <w:rPr>
          <w:b/>
        </w:rPr>
        <w:t>When to Use</w:t>
      </w:r>
    </w:p>
    <w:p>
      <w:r>
        <w:t>At project start or before public release.</w:t>
      </w:r>
    </w:p>
    <w:p>
      <w:r>
        <w:rPr>
          <w:b/>
        </w:rPr>
        <w:t>Workflow Steps</w:t>
      </w:r>
    </w:p>
    <w:p>
      <w:r>
        <w:t>Create folders for data, code, docs, outputs. Separate raw and processed data.</w:t>
      </w:r>
    </w:p>
    <w:p>
      <w:r>
        <w:rPr>
          <w:b/>
        </w:rPr>
        <w:t>Common Failure Modes</w:t>
      </w:r>
    </w:p>
    <w:p>
      <w:r>
        <w:t>Flat repositories and ambiguous file naming.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