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Creating Reproducible Analysis Environments</w:t>
      </w:r>
    </w:p>
    <w:p>
      <w:r>
        <w:rPr>
          <w:b/>
        </w:rPr>
        <w:t>Purpose</w:t>
      </w:r>
    </w:p>
    <w:p>
      <w:r>
        <w:t>Ensures analyses can be rerun by others.</w:t>
      </w:r>
    </w:p>
    <w:p>
      <w:r>
        <w:rPr>
          <w:b/>
        </w:rPr>
        <w:t>Workflow Steps</w:t>
      </w:r>
    </w:p>
    <w:p>
      <w:r>
        <w:t>List dependencies and create requirements.txt.</w:t>
      </w:r>
    </w:p>
    <w:p>
      <w:r>
        <w:rPr>
          <w:b/>
        </w:rPr>
        <w:t>Example: requirements.txt</w:t>
      </w:r>
    </w:p>
    <w:p>
      <w:r>
        <w:t>pandas</w:t>
        <w:br/>
        <w:t>geopandas</w:t>
        <w:br/>
        <w:t>numpy</w:t>
      </w:r>
    </w:p>
    <w:p>
      <w:r>
        <w:rPr>
          <w:b/>
        </w:rPr>
        <w:t>Common Failure Modes</w:t>
      </w:r>
    </w:p>
    <w:p>
      <w:r>
        <w:t>Undocumented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