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Preparing Clean Datasets with Data Dictionaries</w:t>
      </w:r>
    </w:p>
    <w:p>
      <w:r>
        <w:rPr>
          <w:b/>
        </w:rPr>
        <w:t>Purpose</w:t>
      </w:r>
    </w:p>
    <w:p>
      <w:r>
        <w:t>Documentation enables reuse and interpretation.</w:t>
      </w:r>
    </w:p>
    <w:p>
      <w:r>
        <w:rPr>
          <w:b/>
        </w:rPr>
        <w:t>Workflow Steps</w:t>
      </w:r>
    </w:p>
    <w:p>
      <w:r>
        <w:t>Clean data, standardize units, create dictionary.</w:t>
      </w:r>
    </w:p>
    <w:p>
      <w:r>
        <w:rPr>
          <w:b/>
        </w:rPr>
        <w:t>Common Failure Modes</w:t>
      </w:r>
    </w:p>
    <w:p>
      <w:r>
        <w:t>Ambiguous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