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contextualSpacing w:val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The materials presented in the posters should not have been published before or be under submission elsewhere. They should follow the copyright rules; no copyrighted material may be used without permission.  The submitted posters must respect the following specifications: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0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Full title of the abstract corresponding to the poster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0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Names of authors and involved agencies, companies or (educational) institutions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0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Max 1000 words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0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Brief text, well organized, present only brief results that support your conclusions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0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Show the significance of you research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0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In general, include: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580" w:line="432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Hypothesis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580" w:line="432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Methods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580" w:line="432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580" w:line="432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Conclusions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580" w:line="432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Sources / literature used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580" w:line="432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Acknowledgements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20" w:before="22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Dimensions: 1.20m x 0.90m (approx. 4’ x 3’)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20" w:before="22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Arrangement: Clear, simple and uncluttered arrangement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20" w:before="22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Lettering: Title 8cm in height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20" w:before="22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Authors’ names and affiliations somewhat smaller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20" w:before="22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Everything should be readable from a distance of 1.5m – 2m (5’ – 7’)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20" w:before="220" w:line="432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Use a simple and clear font type. When using colors, make sure to have high contrast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contextualSpacing w:val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Once you are notified of your poster's acceptance, it is your responsibility to print it in A-0 size and bring it for display at the conference.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