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t xml:space="preserve"/>
      </w:r>
    </w:p>
    <w:p>
      <w:pPr>
        <w:spacing w:before="0" w:after="0"/>
      </w:pPr>
      <w:r>
        <w:t xml:space="preserve"/>
      </w:r>
    </w:p>
    <w:p>
      <w:pPr>
        <w:spacing w:before="0" w:after="0"/>
      </w:pPr>
      <w:r>
        <w:t xml:space="preserve"/>
      </w:r>
    </w:p>
    <w:p>
      <w:pPr>
        <w:spacing w:before="0" w:after="200"/>
        <w:jc w:val="center"/>
      </w:pPr>
      <w:r>
        <w:rPr>
          <w:rFonts w:ascii="Arial" w:cs="Arial" w:eastAsia="Arial" w:hAnsi="Arial"/>
          <w:b/>
          <w:bCs/>
          <w:color w:val="1D4E8C"/>
          <w:sz w:val="52"/>
          <w:szCs w:val="52"/>
        </w:rPr>
        <w:t xml:space="preserve">MOTOR FINANCIERO PERSONAL</w:t>
      </w:r>
    </w:p>
    <w:p>
      <w:pPr>
        <w:spacing w:before="0" w:after="160"/>
        <w:jc w:val="center"/>
      </w:pPr>
      <w:r>
        <w:rPr>
          <w:rFonts w:ascii="Arial" w:cs="Arial" w:eastAsia="Arial" w:hAnsi="Arial"/>
          <w:i/>
          <w:iCs/>
          <w:color w:val="555555"/>
          <w:sz w:val="28"/>
          <w:szCs w:val="28"/>
        </w:rPr>
        <w:t xml:space="preserve">Documentación técnica y fundamentos de diseño</w:t>
      </w:r>
    </w:p>
    <w:p>
      <w:pPr>
        <w:pBdr>
          <w:top w:val="single" w:color="1D4E8C" w:sz="4" w:space="8"/>
        </w:pBdr>
        <w:spacing w:before="0" w:after="80"/>
        <w:jc w:val="center"/>
      </w:pPr>
      <w:r>
        <w:t xml:space="preserve"/>
      </w:r>
    </w:p>
    <w:p>
      <w:pPr>
        <w:spacing w:before="80" w:after="40"/>
        <w:jc w:val="center"/>
      </w:pPr>
      <w:r>
        <w:rPr>
          <w:rFonts w:ascii="Arial" w:cs="Arial" w:eastAsia="Arial" w:hAnsi="Arial"/>
          <w:color w:val="555555"/>
          <w:sz w:val="22"/>
          <w:szCs w:val="22"/>
        </w:rPr>
        <w:t xml:space="preserve">Sistema de gestión de ingresos irregulares, distribución por cubetas</w:t>
      </w:r>
    </w:p>
    <w:p>
      <w:pPr>
        <w:spacing w:before="0" w:after="400"/>
        <w:jc w:val="center"/>
      </w:pPr>
      <w:r>
        <w:rPr>
          <w:rFonts w:ascii="Arial" w:cs="Arial" w:eastAsia="Arial" w:hAnsi="Arial"/>
          <w:color w:val="555555"/>
          <w:sz w:val="22"/>
          <w:szCs w:val="22"/>
        </w:rPr>
        <w:t xml:space="preserve">y liquidación estratégica de deudas — Python 3.10+</w:t>
      </w:r>
    </w:p>
    <w:p>
      <w:pPr>
        <w:spacing w:before="0" w:after="0"/>
      </w:pPr>
      <w:r>
        <w:t xml:space="preserve"/>
      </w:r>
    </w:p>
    <w:p>
      <w:pPr>
        <w:spacing w:before="0" w:after="0"/>
      </w:pPr>
      <w:r>
        <w:t xml:space="preserve"/>
      </w:r>
    </w:p>
    <w:p>
      <w:pPr>
        <w:spacing w:before="0" w:after="0"/>
      </w:pPr>
      <w:r>
        <w:t xml:space="preserve"/>
      </w:r>
    </w:p>
    <w:p>
      <w:pPr>
        <w:spacing w:before="0" w:after="0"/>
      </w:pPr>
      <w:r>
        <w:t xml:space="preserve"/>
      </w:r>
    </w:p>
    <w:p>
      <w:pPr>
        <w:spacing w:before="0" w:after="0"/>
      </w:pPr>
      <w:r>
        <w:t xml:space="preserve"/>
      </w:r>
    </w:p>
    <w:p>
      <w:pPr>
        <w:spacing w:before="0" w:after="0"/>
      </w:pPr>
      <w:r>
        <w:t xml:space="preserve"/>
      </w:r>
    </w:p>
    <w:p>
      <w:pPr>
        <w:jc w:val="center"/>
      </w:pPr>
      <w:r>
        <w:rPr>
          <w:rFonts w:ascii="Arial" w:cs="Arial" w:eastAsia="Arial" w:hAnsi="Arial"/>
          <w:color w:val="888888"/>
          <w:sz w:val="20"/>
          <w:szCs w:val="20"/>
        </w:rPr>
        <w:t xml:space="preserve">Versión 1.0 — 30 de marzo de 2026</w:t>
      </w:r>
    </w:p>
    <w:p>
      <w:r>
        <w:br w:type="page"/>
      </w:r>
    </w:p>
    <w:p>
      <w:pPr>
        <w:pStyle w:val="Heading1"/>
        <w:pBdr>
          <w:bottom w:val="single" w:color="1D4E8C" w:sz="6" w:space="4"/>
        </w:pBdr>
        <w:spacing w:before="320" w:after="160"/>
      </w:pPr>
      <w:r>
        <w:rPr>
          <w:rFonts w:ascii="Arial" w:cs="Arial" w:eastAsia="Arial" w:hAnsi="Arial"/>
          <w:b/>
          <w:bCs/>
          <w:color w:val="1D4E8C"/>
          <w:sz w:val="32"/>
          <w:szCs w:val="32"/>
        </w:rPr>
        <w:t xml:space="preserve">1. Visión general y filosofía de diseño</w:t>
      </w:r>
    </w:p>
    <w:p>
      <w:pPr>
        <w:spacing w:before="60" w:after="100"/>
      </w:pPr>
      <w:r>
        <w:rPr>
          <w:rFonts w:ascii="Arial" w:cs="Arial" w:eastAsia="Arial" w:hAnsi="Arial"/>
          <w:color w:val="2C2C2A"/>
          <w:sz w:val="22"/>
          <w:szCs w:val="22"/>
        </w:rPr>
        <w:t xml:space="preserve">Este módulo implementa la lógica central de un sistema financiero personal diseñado específicamente para perfiles con ingresos irregulares, múltiples fuentes de dinero y deudas activas. Contiene exclusivamente lógica de negocio: no toca base de datos, no tiene interfaz y no imprime nada por defecto.</w:t>
      </w:r>
    </w:p>
    <w:p>
      <w:pPr>
        <w:pStyle w:val="Heading2"/>
        <w:spacing w:before="240" w:after="120"/>
      </w:pPr>
      <w:r>
        <w:rPr>
          <w:rFonts w:ascii="Arial" w:cs="Arial" w:eastAsia="Arial" w:hAnsi="Arial"/>
          <w:b/>
          <w:bCs/>
          <w:color w:val="1D4E8C"/>
          <w:sz w:val="26"/>
          <w:szCs w:val="26"/>
        </w:rPr>
        <w:t xml:space="preserve">1.1 El problema que resuelve</w:t>
      </w:r>
    </w:p>
    <w:p>
      <w:pPr>
        <w:spacing w:before="60" w:after="100"/>
      </w:pPr>
      <w:r>
        <w:rPr>
          <w:rFonts w:ascii="Arial" w:cs="Arial" w:eastAsia="Arial" w:hAnsi="Arial"/>
          <w:color w:val="2C2C2A"/>
          <w:sz w:val="22"/>
          <w:szCs w:val="22"/>
        </w:rPr>
        <w:t xml:space="preserve">Las herramientas financieras convencionales (apps de presupuesto, hojas de cálculo) asumen ingresos predecibles y regulares. Para un perfil con salario + freelance + negocio + comisiones de forma irregular, ese modelo falla de dos maneras críticas:</w:t>
      </w:r>
    </w:p>
    <w:p>
      <w:pPr>
        <w:pStyle w:val="ListParagraph"/>
        <w:numPr>
          <w:ilvl w:val="0"/>
          <w:numId w:val="2"/>
        </w:numPr>
        <w:spacing w:before="40" w:after="40"/>
      </w:pPr>
      <w:r>
        <w:rPr>
          <w:rFonts w:ascii="Arial" w:cs="Arial" w:eastAsia="Arial" w:hAnsi="Arial"/>
          <w:color w:val="2C2C2A"/>
          <w:sz w:val="22"/>
          <w:szCs w:val="22"/>
        </w:rPr>
        <w:t xml:space="preserve">Cuando llega más dinero del esperado, el exceso no tiene destino definido y desaparece sin intención.</w:t>
      </w:r>
    </w:p>
    <w:p>
      <w:pPr>
        <w:pStyle w:val="ListParagraph"/>
        <w:numPr>
          <w:ilvl w:val="0"/>
          <w:numId w:val="2"/>
        </w:numPr>
        <w:spacing w:before="40" w:after="40"/>
      </w:pPr>
      <w:r>
        <w:rPr>
          <w:rFonts w:ascii="Arial" w:cs="Arial" w:eastAsia="Arial" w:hAnsi="Arial"/>
          <w:color w:val="2C2C2A"/>
          <w:sz w:val="22"/>
          <w:szCs w:val="22"/>
        </w:rPr>
        <w:t xml:space="preserve">Cuando llega menos, no existe jerarquía clara de qué cubrir primero y se improvisa, usualmente comprometiendo pagos de deuda.</w:t>
      </w:r>
    </w:p>
    <w:p>
      <w:pPr>
        <w:spacing w:before="60" w:after="100"/>
      </w:pPr>
      <w:r>
        <w:rPr>
          <w:rFonts w:ascii="Arial" w:cs="Arial" w:eastAsia="Arial" w:hAnsi="Arial"/>
          <w:color w:val="2C2C2A"/>
          <w:sz w:val="22"/>
          <w:szCs w:val="22"/>
        </w:rPr>
        <w:t xml:space="preserve">Este motor trabaja con el dinero que llegó, no con el que se esperaba. Cada peso se asigna en el momento de recibirse, usando porcentajes —no montos fijos—, por lo que funciona igual con $3,000 que con $30,000.</w:t>
      </w:r>
    </w:p>
    <w:p>
      <w:pPr>
        <w:pStyle w:val="Heading2"/>
        <w:spacing w:before="240" w:after="120"/>
      </w:pPr>
      <w:r>
        <w:rPr>
          <w:rFonts w:ascii="Arial" w:cs="Arial" w:eastAsia="Arial" w:hAnsi="Arial"/>
          <w:b/>
          <w:bCs/>
          <w:color w:val="1D4E8C"/>
          <w:sz w:val="26"/>
          <w:szCs w:val="26"/>
        </w:rPr>
        <w:t xml:space="preserve">1.2 Principio de separación de responsabilidades</w:t>
      </w:r>
    </w:p>
    <w:p>
      <w:pPr>
        <w:spacing w:before="60" w:after="100"/>
      </w:pPr>
      <w:r>
        <w:rPr>
          <w:rFonts w:ascii="Arial" w:cs="Arial" w:eastAsia="Arial" w:hAnsi="Arial"/>
          <w:color w:val="2C2C2A"/>
          <w:sz w:val="22"/>
          <w:szCs w:val="22"/>
        </w:rPr>
        <w:t xml:space="preserve">La decisión de diseño más importante del sistema es separar completamente la lógica de negocio de la persistencia y la presentación. Cada función recibe datos como parámetros y retorna resultados puros (diccionarios o listas).</w:t>
      </w:r>
    </w:p>
    <w:p>
      <w:pPr>
        <w:pBdr>
          <w:left w:val="single" w:color="1D4E8C" w:sz="12" w:space="8"/>
        </w:pBdr>
        <w:spacing w:before="120" w:after="120"/>
        <w:ind w:left="360"/>
      </w:pPr>
      <w:r>
        <w:rPr>
          <w:rFonts w:ascii="Arial" w:cs="Arial" w:eastAsia="Arial" w:hAnsi="Arial"/>
          <w:i/>
          <w:iCs/>
          <w:color w:val="2C2C2A"/>
          <w:sz w:val="20"/>
          <w:szCs w:val="20"/>
        </w:rPr>
        <w:t xml:space="preserve">Este patrón se llama arquitectura de capas o layered architecture. La lógica de negocio vive en una capa, la base de datos en otra, la interfaz en otra. Las capas se comunican hacia arriba: la interfaz llama a la lógica, la lógica llama a la persistencia. Nunca al revés.</w:t>
      </w:r>
    </w:p>
    <w:p>
      <w:pPr>
        <w:spacing w:before="60" w:after="100"/>
      </w:pPr>
      <w:r>
        <w:rPr>
          <w:rFonts w:ascii="Arial" w:cs="Arial" w:eastAsia="Arial" w:hAnsi="Arial"/>
          <w:color w:val="2C2C2A"/>
          <w:sz w:val="22"/>
          <w:szCs w:val="22"/>
        </w:rPr>
        <w:t xml:space="preserve">Beneficios concretos para este proyecto:</w:t>
      </w:r>
    </w:p>
    <w:p>
      <w:pPr>
        <w:pStyle w:val="ListParagraph"/>
        <w:numPr>
          <w:ilvl w:val="0"/>
          <w:numId w:val="2"/>
        </w:numPr>
        <w:spacing w:before="40" w:after="40"/>
      </w:pPr>
      <w:r>
        <w:rPr>
          <w:rFonts w:ascii="Arial" w:cs="Arial" w:eastAsia="Arial" w:hAnsi="Arial"/>
          <w:color w:val="2C2C2A"/>
          <w:sz w:val="22"/>
          <w:szCs w:val="22"/>
        </w:rPr>
        <w:t xml:space="preserve">Puedes probar cualquier función en Python puro, sin levantar ninguna app.</w:t>
      </w:r>
    </w:p>
    <w:p>
      <w:pPr>
        <w:pStyle w:val="ListParagraph"/>
        <w:numPr>
          <w:ilvl w:val="0"/>
          <w:numId w:val="2"/>
        </w:numPr>
        <w:spacing w:before="40" w:after="40"/>
      </w:pPr>
      <w:r>
        <w:rPr>
          <w:rFonts w:ascii="Arial" w:cs="Arial" w:eastAsia="Arial" w:hAnsi="Arial"/>
          <w:color w:val="2C2C2A"/>
          <w:sz w:val="22"/>
          <w:szCs w:val="22"/>
        </w:rPr>
        <w:t xml:space="preserve">Puedes cambiar de SQLite a PostgreSQL sin modificar una sola línea de lógica.</w:t>
      </w:r>
    </w:p>
    <w:p>
      <w:pPr>
        <w:pStyle w:val="ListParagraph"/>
        <w:numPr>
          <w:ilvl w:val="0"/>
          <w:numId w:val="2"/>
        </w:numPr>
        <w:spacing w:before="40" w:after="40"/>
      </w:pPr>
      <w:r>
        <w:rPr>
          <w:rFonts w:ascii="Arial" w:cs="Arial" w:eastAsia="Arial" w:hAnsi="Arial"/>
          <w:color w:val="2C2C2A"/>
          <w:sz w:val="22"/>
          <w:szCs w:val="22"/>
        </w:rPr>
        <w:t xml:space="preserve">Puedes conectar cualquier frontend: web (SvelteKit), desktop (Tauri), CLI, o API REST.</w:t>
      </w:r>
    </w:p>
    <w:p>
      <w:pPr>
        <w:pStyle w:val="ListParagraph"/>
        <w:numPr>
          <w:ilvl w:val="0"/>
          <w:numId w:val="2"/>
        </w:numPr>
        <w:spacing w:before="40" w:after="40"/>
      </w:pPr>
      <w:r>
        <w:rPr>
          <w:rFonts w:ascii="Arial" w:cs="Arial" w:eastAsia="Arial" w:hAnsi="Arial"/>
          <w:color w:val="2C2C2A"/>
          <w:sz w:val="22"/>
          <w:szCs w:val="22"/>
        </w:rPr>
        <w:t xml:space="preserve">Los errores son aislables: si una función retorna mal, el problema está en esa función, no en el sistema completo.</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D4E8C" w:val="clear"/>
            <w:tcMar>
              <w:top w:type="dxa" w:w="80"/>
              <w:left w:type="dxa" w:w="140"/>
              <w:bottom w:type="dxa" w:w="80"/>
              <w:right w:type="dxa" w:w="140"/>
            </w:tcMar>
          </w:tcPr>
          <w:p>
            <w:r>
              <w:rPr>
                <w:rFonts w:ascii="Arial" w:cs="Arial" w:eastAsia="Arial" w:hAnsi="Arial"/>
                <w:b/>
                <w:bCs/>
                <w:color w:val="FFFFFF"/>
                <w:sz w:val="20"/>
                <w:szCs w:val="20"/>
              </w:rPr>
              <w:t xml:space="preserve">Capa</w:t>
            </w:r>
          </w:p>
        </w:tc>
        <w:tc>
          <w:tcPr>
            <w:tcW w:type="dxa" w:w="6560"/>
            <w:tcBorders>
              <w:top w:val="single" w:color="CCCCCC" w:sz="1"/>
              <w:left w:val="single" w:color="CCCCCC" w:sz="1"/>
              <w:bottom w:val="single" w:color="CCCCCC" w:sz="1"/>
              <w:right w:val="single" w:color="CCCCCC" w:sz="1"/>
            </w:tcBorders>
            <w:shd w:fill="1D4E8C" w:val="clear"/>
            <w:tcMar>
              <w:top w:type="dxa" w:w="80"/>
              <w:left w:type="dxa" w:w="140"/>
              <w:bottom w:type="dxa" w:w="80"/>
              <w:right w:type="dxa" w:w="140"/>
            </w:tcMar>
          </w:tcPr>
          <w:p>
            <w:r>
              <w:rPr>
                <w:rFonts w:ascii="Arial" w:cs="Arial" w:eastAsia="Arial" w:hAnsi="Arial"/>
                <w:b/>
                <w:bCs/>
                <w:color w:val="FFFFFF"/>
                <w:sz w:val="20"/>
                <w:szCs w:val="20"/>
              </w:rPr>
              <w:t xml:space="preserve">Responsabilidad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A"/>
                <w:sz w:val="20"/>
                <w:szCs w:val="20"/>
              </w:rPr>
              <w:t xml:space="preserve">Captura de datos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A"/>
                <w:sz w:val="20"/>
                <w:szCs w:val="20"/>
              </w:rPr>
              <w:t xml:space="preserve">UI (widget, web, móvil). Valida formatos, no reglas de negocio.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C2C2A"/>
                <w:sz w:val="20"/>
                <w:szCs w:val="20"/>
              </w:rPr>
              <w:t xml:space="preserve">Lógica de negocio</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C2C2A"/>
                <w:sz w:val="20"/>
                <w:szCs w:val="20"/>
              </w:rPr>
              <w:t xml:space="preserve">Este archivo (motor_financiero.py). Puro Python, sin dependencias externas.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A"/>
                <w:sz w:val="20"/>
                <w:szCs w:val="20"/>
              </w:rPr>
              <w:t xml:space="preserve">Persistencia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A"/>
                <w:sz w:val="20"/>
                <w:szCs w:val="20"/>
              </w:rPr>
              <w:t xml:space="preserve">SQLite + capa de acceso a datos (siguiente fase).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C2C2A"/>
                <w:sz w:val="20"/>
                <w:szCs w:val="20"/>
              </w:rPr>
              <w:t xml:space="preserve">Presentación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C2C2A"/>
                <w:sz w:val="20"/>
                <w:szCs w:val="20"/>
              </w:rPr>
              <w:t xml:space="preserve">Dashboard web (SvelteKit) + widget desktop (Tauri).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A"/>
                <w:sz w:val="20"/>
                <w:szCs w:val="20"/>
              </w:rPr>
              <w:t xml:space="preserve">Notificaciones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A"/>
                <w:sz w:val="20"/>
                <w:szCs w:val="20"/>
              </w:rPr>
              <w:t xml:space="preserve">Módulo separado que consume los eventos del calendario.</w:t>
            </w:r>
          </w:p>
        </w:tc>
      </w:tr>
    </w:tbl>
    <w:p>
      <w:pPr>
        <w:spacing w:before="0" w:after="0"/>
      </w:pPr>
      <w:r>
        <w:t xml:space="preserve"/>
      </w:r>
    </w:p>
    <w:p>
      <w:r>
        <w:br w:type="page"/>
      </w:r>
    </w:p>
    <w:p>
      <w:pPr>
        <w:pStyle w:val="Heading1"/>
        <w:pBdr>
          <w:bottom w:val="single" w:color="1D4E8C" w:sz="6" w:space="4"/>
        </w:pBdr>
        <w:spacing w:before="320" w:after="160"/>
      </w:pPr>
      <w:r>
        <w:rPr>
          <w:rFonts w:ascii="Arial" w:cs="Arial" w:eastAsia="Arial" w:hAnsi="Arial"/>
          <w:b/>
          <w:bCs/>
          <w:color w:val="1D4E8C"/>
          <w:sz w:val="32"/>
          <w:szCs w:val="32"/>
        </w:rPr>
        <w:t xml:space="preserve">2. Cálculo de interés (Sección A)</w:t>
      </w:r>
    </w:p>
    <w:p>
      <w:pPr>
        <w:spacing w:before="60" w:after="100"/>
      </w:pPr>
      <w:r>
        <w:rPr>
          <w:rFonts w:ascii="Arial" w:cs="Arial" w:eastAsia="Arial" w:hAnsi="Arial"/>
          <w:color w:val="2C2C2A"/>
          <w:sz w:val="22"/>
          <w:szCs w:val="22"/>
        </w:rPr>
        <w:t xml:space="preserve">El interés mensual es la operación matemática base de todo el sistema. Aparece en cuatro lugares diferentes: la proyección de deuda, la distribución de pagos, el comparador de estrategias y el cálculo del costo de esperar. Encapsularla en una función separada garantiza que si la fórmula cambia, se corrige en un solo lugar.</w:t>
      </w:r>
    </w:p>
    <w:p>
      <w:pPr>
        <w:pStyle w:val="Heading2"/>
        <w:spacing w:before="240" w:after="120"/>
      </w:pPr>
      <w:r>
        <w:rPr>
          <w:rFonts w:ascii="Arial" w:cs="Arial" w:eastAsia="Arial" w:hAnsi="Arial"/>
          <w:b/>
          <w:bCs/>
          <w:color w:val="1D4E8C"/>
          <w:sz w:val="26"/>
          <w:szCs w:val="26"/>
        </w:rPr>
        <w:t xml:space="preserve">2.1 Por qué se incluye el IVA</w:t>
      </w:r>
    </w:p>
    <w:p>
      <w:pPr>
        <w:spacing w:before="60" w:after="100"/>
      </w:pPr>
      <w:r>
        <w:rPr>
          <w:rFonts w:ascii="Arial" w:cs="Arial" w:eastAsia="Arial" w:hAnsi="Arial"/>
          <w:color w:val="2C2C2A"/>
          <w:sz w:val="22"/>
          <w:szCs w:val="22"/>
        </w:rPr>
        <w:t xml:space="preserve">En México, la Ley del IVA establece que los intereses cobrados por instituciones financieras a personas físicas causan IVA al 16%. Esto no es discrecional: aparece desglosado en tu estado de cuenta como "IVA de intereses". Ignorarlo subestimaría el costo real de una deuda en aproximadamente 16%.</w:t>
      </w:r>
    </w:p>
    <w:p>
      <w:pPr>
        <w:pBdr>
          <w:left w:val="single" w:color="1D4E8C" w:sz="12" w:space="8"/>
        </w:pBdr>
        <w:spacing w:before="120" w:after="120"/>
        <w:ind w:left="360"/>
      </w:pPr>
      <w:r>
        <w:rPr>
          <w:rFonts w:ascii="Arial" w:cs="Arial" w:eastAsia="Arial" w:hAnsi="Arial"/>
          <w:i/>
          <w:iCs/>
          <w:color w:val="2C2C2A"/>
          <w:sz w:val="20"/>
          <w:szCs w:val="20"/>
        </w:rPr>
        <w:t xml:space="preserve">Ejemplo concreto: tarjeta con saldo $18,500 y tasa anual del 60%.
Interés base: $18,500 × (60%/12) = $925.00
IVA del interés: $925.00 × 16% = $148.00
Costo real del mes: $1,073.00
Sin IVA habrías calculado $925. La diferencia es $148 mensuales, o $1,776 al año.</w:t>
      </w:r>
    </w:p>
    <w:p>
      <w:pPr>
        <w:pStyle w:val="Heading2"/>
        <w:spacing w:before="240" w:after="120"/>
      </w:pPr>
      <w:r>
        <w:rPr>
          <w:rFonts w:ascii="Arial" w:cs="Arial" w:eastAsia="Arial" w:hAnsi="Arial"/>
          <w:b/>
          <w:bCs/>
          <w:color w:val="1D4E8C"/>
          <w:sz w:val="26"/>
          <w:szCs w:val="26"/>
        </w:rPr>
        <w:t xml:space="preserve">2.2 Tasa ordinaria vs CAT</w:t>
      </w:r>
    </w:p>
    <w:p>
      <w:pPr>
        <w:spacing w:before="60" w:after="100"/>
      </w:pPr>
      <w:r>
        <w:rPr>
          <w:rFonts w:ascii="Arial" w:cs="Arial" w:eastAsia="Arial" w:hAnsi="Arial"/>
          <w:color w:val="2C2C2A"/>
          <w:sz w:val="22"/>
          <w:szCs w:val="22"/>
        </w:rPr>
        <w:t xml:space="preserve">El sistema usa siempre la tasa ordinaria anual, nunca el CAT (Costo Anual Total). La distinción es importante: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D4E8C" w:val="clear"/>
            <w:tcMar>
              <w:top w:type="dxa" w:w="80"/>
              <w:left w:type="dxa" w:w="140"/>
              <w:bottom w:type="dxa" w:w="80"/>
              <w:right w:type="dxa" w:w="140"/>
            </w:tcMar>
          </w:tcPr>
          <w:p>
            <w:r>
              <w:rPr>
                <w:rFonts w:ascii="Arial" w:cs="Arial" w:eastAsia="Arial" w:hAnsi="Arial"/>
                <w:b/>
                <w:bCs/>
                <w:color w:val="FFFFFF"/>
                <w:sz w:val="20"/>
                <w:szCs w:val="20"/>
              </w:rPr>
              <w:t xml:space="preserve">Indicador</w:t>
            </w:r>
          </w:p>
        </w:tc>
        <w:tc>
          <w:tcPr>
            <w:tcW w:type="dxa" w:w="7160"/>
            <w:tcBorders>
              <w:top w:val="single" w:color="CCCCCC" w:sz="1"/>
              <w:left w:val="single" w:color="CCCCCC" w:sz="1"/>
              <w:bottom w:val="single" w:color="CCCCCC" w:sz="1"/>
              <w:right w:val="single" w:color="CCCCCC" w:sz="1"/>
            </w:tcBorders>
            <w:shd w:fill="1D4E8C" w:val="clear"/>
            <w:tcMar>
              <w:top w:type="dxa" w:w="80"/>
              <w:left w:type="dxa" w:w="140"/>
              <w:bottom w:type="dxa" w:w="80"/>
              <w:right w:type="dxa" w:w="140"/>
            </w:tcMar>
          </w:tcPr>
          <w:p>
            <w:r>
              <w:rPr>
                <w:rFonts w:ascii="Arial" w:cs="Arial" w:eastAsia="Arial" w:hAnsi="Arial"/>
                <w:b/>
                <w:bCs/>
                <w:color w:val="FFFFFF"/>
                <w:sz w:val="20"/>
                <w:szCs w:val="20"/>
              </w:rPr>
              <w:t xml:space="preserve">Uso correcto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A"/>
                <w:sz w:val="20"/>
                <w:szCs w:val="20"/>
              </w:rPr>
              <w:t xml:space="preserve">CAT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A"/>
                <w:sz w:val="20"/>
                <w:szCs w:val="20"/>
              </w:rPr>
              <w:t xml:space="preserve">Indicador de comparación entre productos. Incluye comisiones, seguros y otros cargos. Solo sirve para elegir qué tarjeta o crédito contratar.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C2C2A"/>
                <w:sz w:val="20"/>
                <w:szCs w:val="20"/>
              </w:rPr>
              <w:t xml:space="preserve">Tasa ordinaria</w:t>
            </w:r>
          </w:p>
        </w:tc>
        <w:tc>
          <w:tcPr>
            <w:tcW w:type="dxa" w:w="7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C2C2A"/>
                <w:sz w:val="20"/>
                <w:szCs w:val="20"/>
              </w:rPr>
              <w:t xml:space="preserve">El costo puro del dinero. Es la base de cálculo que usan los bancos para generar el cargo mensual de intereses en tu estado de cuenta.</w:t>
            </w:r>
          </w:p>
        </w:tc>
      </w:tr>
    </w:tbl>
    <w:p>
      <w:pPr>
        <w:spacing w:before="0" w:after="0"/>
      </w:pPr>
      <w:r>
        <w:t xml:space="preserve"/>
      </w:r>
    </w:p>
    <w:p>
      <w:pPr>
        <w:pStyle w:val="Heading2"/>
        <w:spacing w:before="240" w:after="120"/>
      </w:pPr>
      <w:r>
        <w:rPr>
          <w:rFonts w:ascii="Arial" w:cs="Arial" w:eastAsia="Arial" w:hAnsi="Arial"/>
          <w:b/>
          <w:bCs/>
          <w:color w:val="1D4E8C"/>
          <w:sz w:val="26"/>
          <w:szCs w:val="26"/>
        </w:rPr>
        <w:t xml:space="preserve">2.3 La función calcular_costo_esperar()</w:t>
      </w:r>
    </w:p>
    <w:p>
      <w:pPr>
        <w:spacing w:before="60" w:after="100"/>
      </w:pPr>
      <w:r>
        <w:rPr>
          <w:rFonts w:ascii="Arial" w:cs="Arial" w:eastAsia="Arial" w:hAnsi="Arial"/>
          <w:color w:val="2C2C2A"/>
          <w:sz w:val="22"/>
          <w:szCs w:val="22"/>
        </w:rPr>
        <w:t xml:space="preserve">Esta función responde la pregunta más útil para el motor de notificaciones: ¿cuánto me cuesta NO pagar esta deuda durante N meses? Cuando el sistema detecta dinero disponible en la cubeta de deudas, puede calcular el costo de esperar y mostrarlo como alerta contextual.</w:t>
      </w:r>
    </w:p>
    <w:p>
      <w:pPr>
        <w:spacing w:before="40" w:after="40"/>
        <w:ind w:left="360"/>
      </w:pPr>
      <w:r>
        <w:rPr>
          <w:rFonts w:ascii="Courier New" w:cs="Courier New" w:eastAsia="Courier New" w:hAnsi="Courier New"/>
          <w:color w:val="1D4E8C"/>
          <w:sz w:val="18"/>
          <w:szCs w:val="18"/>
        </w:rPr>
        <w:t xml:space="preserve">costo = calcular_costo_esperar(18500, 0.60, meses=1)</w:t>
      </w:r>
    </w:p>
    <w:p>
      <w:pPr>
        <w:spacing w:before="40" w:after="40"/>
        <w:ind w:left="360"/>
      </w:pPr>
      <w:r>
        <w:rPr>
          <w:rFonts w:ascii="Courier New" w:cs="Courier New" w:eastAsia="Courier New" w:hAnsi="Courier New"/>
          <w:color w:val="1D4E8C"/>
          <w:sz w:val="18"/>
          <w:szCs w:val="18"/>
        </w:rPr>
        <w:t xml:space="preserve"># → costo_total: $1,073.00</w:t>
      </w:r>
    </w:p>
    <w:p>
      <w:pPr>
        <w:spacing w:before="40" w:after="40"/>
        <w:ind w:left="360"/>
      </w:pPr>
      <w:r>
        <w:rPr>
          <w:rFonts w:ascii="Courier New" w:cs="Courier New" w:eastAsia="Courier New" w:hAnsi="Courier New"/>
          <w:color w:val="1D4E8C"/>
          <w:sz w:val="18"/>
          <w:szCs w:val="18"/>
        </w:rPr>
        <w:t xml:space="preserve"># → costo_por_dia: $35.77</w:t>
      </w:r>
    </w:p>
    <w:p>
      <w:pPr>
        <w:spacing w:before="40" w:after="40"/>
        <w:ind w:left="360"/>
      </w:pPr>
      <w:r>
        <w:rPr>
          <w:rFonts w:ascii="Courier New" w:cs="Courier New" w:eastAsia="Courier New" w:hAnsi="Courier New"/>
          <w:color w:val="1D4E8C"/>
          <w:sz w:val="18"/>
          <w:szCs w:val="18"/>
        </w:rPr>
        <w:t xml:space="preserve"># → saldo_final si no pagas nada: $19,573.00</w:t>
      </w:r>
    </w:p>
    <w:p>
      <w:pPr>
        <w:pBdr>
          <w:left w:val="single" w:color="0F6E56" w:sz="12" w:space="8"/>
        </w:pBdr>
        <w:spacing w:before="120" w:after="120"/>
        <w:ind w:left="360"/>
      </w:pPr>
      <w:r>
        <w:rPr>
          <w:rFonts w:ascii="Arial" w:cs="Arial" w:eastAsia="Arial" w:hAnsi="Arial"/>
          <w:i/>
          <w:iCs/>
          <w:color w:val="2C2C2A"/>
          <w:sz w:val="20"/>
          <w:szCs w:val="20"/>
        </w:rPr>
        <w:t xml:space="preserve">El campo costo_por_dia es el más persuasivo para notificaciones. "Esta tarjeta te cuesta $35.77 al día" es más concreto que "tasa del 60% anual".</w:t>
      </w:r>
    </w:p>
    <w:p>
      <w:r>
        <w:br w:type="page"/>
      </w:r>
    </w:p>
    <w:p>
      <w:pPr>
        <w:pStyle w:val="Heading1"/>
        <w:pBdr>
          <w:bottom w:val="single" w:color="1D4E8C" w:sz="6" w:space="4"/>
        </w:pBdr>
        <w:spacing w:before="320" w:after="160"/>
      </w:pPr>
      <w:r>
        <w:rPr>
          <w:rFonts w:ascii="Arial" w:cs="Arial" w:eastAsia="Arial" w:hAnsi="Arial"/>
          <w:b/>
          <w:bCs/>
          <w:color w:val="1D4E8C"/>
          <w:sz w:val="32"/>
          <w:szCs w:val="32"/>
        </w:rPr>
        <w:t xml:space="preserve">3. Clasificación de ingresos (Sección B)</w:t>
      </w:r>
    </w:p>
    <w:p>
      <w:pPr>
        <w:spacing w:before="60" w:after="100"/>
      </w:pPr>
      <w:r>
        <w:rPr>
          <w:rFonts w:ascii="Arial" w:cs="Arial" w:eastAsia="Arial" w:hAnsi="Arial"/>
          <w:color w:val="2C2C2A"/>
          <w:sz w:val="22"/>
          <w:szCs w:val="22"/>
        </w:rPr>
        <w:t xml:space="preserve">Un ingreso tiene más dimensiones que solo "cuánto llegó". La función clasificar_ingreso() recibe datos crudos de la UI y retorna el registro completo con todos los campos derivados calculados. Esto garantiza que las reglas de negocio no se dupliquen en cada interfaz.</w:t>
      </w:r>
    </w:p>
    <w:p>
      <w:pPr>
        <w:pStyle w:val="Heading2"/>
        <w:spacing w:before="240" w:after="120"/>
      </w:pPr>
      <w:r>
        <w:rPr>
          <w:rFonts w:ascii="Arial" w:cs="Arial" w:eastAsia="Arial" w:hAnsi="Arial"/>
          <w:b/>
          <w:bCs/>
          <w:color w:val="1D4E8C"/>
          <w:sz w:val="26"/>
          <w:szCs w:val="26"/>
        </w:rPr>
        <w:t xml:space="preserve">3.1 La dimensión fuente</w:t>
      </w:r>
    </w:p>
    <w:p>
      <w:pPr>
        <w:spacing w:before="60" w:after="100"/>
      </w:pPr>
      <w:r>
        <w:rPr>
          <w:rFonts w:ascii="Arial" w:cs="Arial" w:eastAsia="Arial" w:hAnsi="Arial"/>
          <w:color w:val="2C2C2A"/>
          <w:sz w:val="22"/>
          <w:szCs w:val="22"/>
        </w:rPr>
        <w:t xml:space="preserve">La fuente responde ¿de dónde viene? e importa para las proyecciones de flujo. El proyector usa el historial de ingresos por fuente para calcular escenarios: un salario es predecible, un freelance no. Combinar ambos en el mismo campo destruiría la capacidad de proyección diferenciada.</w:t>
      </w:r>
    </w:p>
    <w:p>
      <w:pPr>
        <w:pStyle w:val="Heading2"/>
        <w:spacing w:before="240" w:after="120"/>
      </w:pPr>
      <w:r>
        <w:rPr>
          <w:rFonts w:ascii="Arial" w:cs="Arial" w:eastAsia="Arial" w:hAnsi="Arial"/>
          <w:b/>
          <w:bCs/>
          <w:color w:val="1D4E8C"/>
          <w:sz w:val="26"/>
          <w:szCs w:val="26"/>
        </w:rPr>
        <w:t xml:space="preserve">3.2 La dimensión tipo</w:t>
      </w:r>
    </w:p>
    <w:p>
      <w:pPr>
        <w:spacing w:before="60" w:after="100"/>
      </w:pPr>
      <w:r>
        <w:rPr>
          <w:rFonts w:ascii="Arial" w:cs="Arial" w:eastAsia="Arial" w:hAnsi="Arial"/>
          <w:color w:val="2C2C2A"/>
          <w:sz w:val="22"/>
          <w:szCs w:val="22"/>
        </w:rPr>
        <w:t xml:space="preserve">El tipo responde ¿qué clase de evento es? Las reglas críticas son:</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D4E8C" w:val="clear"/>
            <w:tcMar>
              <w:top w:type="dxa" w:w="80"/>
              <w:left w:type="dxa" w:w="140"/>
              <w:bottom w:type="dxa" w:w="80"/>
              <w:right w:type="dxa" w:w="140"/>
            </w:tcMar>
          </w:tcPr>
          <w:p>
            <w:r>
              <w:rPr>
                <w:rFonts w:ascii="Arial" w:cs="Arial" w:eastAsia="Arial" w:hAnsi="Arial"/>
                <w:b/>
                <w:bCs/>
                <w:color w:val="FFFFFF"/>
                <w:sz w:val="20"/>
                <w:szCs w:val="20"/>
              </w:rPr>
              <w:t xml:space="preserve">Tipo</w:t>
            </w:r>
          </w:p>
        </w:tc>
        <w:tc>
          <w:tcPr>
            <w:tcW w:type="dxa" w:w="7160"/>
            <w:tcBorders>
              <w:top w:val="single" w:color="CCCCCC" w:sz="1"/>
              <w:left w:val="single" w:color="CCCCCC" w:sz="1"/>
              <w:bottom w:val="single" w:color="CCCCCC" w:sz="1"/>
              <w:right w:val="single" w:color="CCCCCC" w:sz="1"/>
            </w:tcBorders>
            <w:shd w:fill="1D4E8C" w:val="clear"/>
            <w:tcMar>
              <w:top w:type="dxa" w:w="80"/>
              <w:left w:type="dxa" w:w="140"/>
              <w:bottom w:type="dxa" w:w="80"/>
              <w:right w:type="dxa" w:w="140"/>
            </w:tcMar>
          </w:tcPr>
          <w:p>
            <w:r>
              <w:rPr>
                <w:rFonts w:ascii="Arial" w:cs="Arial" w:eastAsia="Arial" w:hAnsi="Arial"/>
                <w:b/>
                <w:bCs/>
                <w:color w:val="FFFFFF"/>
                <w:sz w:val="20"/>
                <w:szCs w:val="20"/>
              </w:rPr>
              <w:t xml:space="preserve">Regla del motor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A"/>
                <w:sz w:val="20"/>
                <w:szCs w:val="20"/>
              </w:rPr>
              <w:t xml:space="preserve">recurrente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A"/>
                <w:sz w:val="20"/>
                <w:szCs w:val="20"/>
              </w:rPr>
              <w:t xml:space="preserve">Puede anticiparse en el calendario. El proyector lo promedia para escenarios futuros.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C2C2A"/>
                <w:sz w:val="20"/>
                <w:szCs w:val="20"/>
              </w:rPr>
              <w:t xml:space="preserve">puntual</w:t>
            </w:r>
          </w:p>
        </w:tc>
        <w:tc>
          <w:tcPr>
            <w:tcW w:type="dxa" w:w="7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C2C2A"/>
                <w:sz w:val="20"/>
                <w:szCs w:val="20"/>
              </w:rPr>
              <w:t xml:space="preserve">No se promedia para proyecciones. Es un evento único.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A"/>
                <w:sz w:val="20"/>
                <w:szCs w:val="20"/>
              </w:rPr>
              <w:t xml:space="preserve">anticipo</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A"/>
                <w:sz w:val="20"/>
                <w:szCs w:val="20"/>
              </w:rPr>
              <w:t xml:space="preserve">Solo es parte de un pago. El motor espera el complemento antes de distribuir (configurable).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C2C2A"/>
                <w:sz w:val="20"/>
                <w:szCs w:val="20"/>
              </w:rPr>
              <w:t xml:space="preserve">prestamo</w:t>
            </w:r>
          </w:p>
        </w:tc>
        <w:tc>
          <w:tcPr>
            <w:tcW w:type="dxa" w:w="7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C2C2A"/>
                <w:sz w:val="20"/>
                <w:szCs w:val="20"/>
              </w:rPr>
              <w:t xml:space="preserve">NUNCA entra al flujo de cubetas. Se registra para el historial de cuentas pero distribuirlo es un error contable: ese dinero ya tiene dueño.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A"/>
                <w:sz w:val="20"/>
                <w:szCs w:val="20"/>
              </w:rPr>
              <w:t xml:space="preserve">extra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A"/>
                <w:sz w:val="20"/>
                <w:szCs w:val="20"/>
              </w:rPr>
              <w:t xml:space="preserve">Sigue las reglas normales pero el motor sugiere aumentar temporalmente el % de deudas.</w:t>
            </w:r>
          </w:p>
        </w:tc>
      </w:tr>
    </w:tbl>
    <w:p>
      <w:pPr>
        <w:spacing w:before="0" w:after="0"/>
      </w:pPr>
      <w:r>
        <w:t xml:space="preserve"/>
      </w:r>
    </w:p>
    <w:p>
      <w:pPr>
        <w:pBdr>
          <w:left w:val="single" w:color="1D4E8C" w:sz="12" w:space="8"/>
        </w:pBdr>
        <w:spacing w:before="120" w:after="120"/>
        <w:ind w:left="360"/>
      </w:pPr>
      <w:r>
        <w:rPr>
          <w:rFonts w:ascii="Arial" w:cs="Arial" w:eastAsia="Arial" w:hAnsi="Arial"/>
          <w:i/>
          <w:iCs/>
          <w:color w:val="2C2C2A"/>
          <w:sz w:val="20"/>
          <w:szCs w:val="20"/>
        </w:rPr>
        <w:t xml:space="preserve">La regla del préstamo es absoluta e irreversible. Distribuir un préstamo en cubetas es uno de los errores más comunes en perfiles con múltiples fuentes de ingreso: el dinero "aparece" en cuenta y se gasta, sin recordar que ya tiene un destino.</w:t>
      </w:r>
    </w:p>
    <w:p>
      <w:r>
        <w:br w:type="page"/>
      </w:r>
    </w:p>
    <w:p>
      <w:pPr>
        <w:pStyle w:val="Heading1"/>
        <w:pBdr>
          <w:bottom w:val="single" w:color="1D4E8C" w:sz="6" w:space="4"/>
        </w:pBdr>
        <w:spacing w:before="320" w:after="160"/>
      </w:pPr>
      <w:r>
        <w:rPr>
          <w:rFonts w:ascii="Arial" w:cs="Arial" w:eastAsia="Arial" w:hAnsi="Arial"/>
          <w:b/>
          <w:bCs/>
          <w:color w:val="1D4E8C"/>
          <w:sz w:val="32"/>
          <w:szCs w:val="32"/>
        </w:rPr>
        <w:t xml:space="preserve">4. Sistema de cubetas — Envelope Method (Sección C)</w:t>
      </w:r>
    </w:p>
    <w:p>
      <w:pPr>
        <w:spacing w:before="60" w:after="100"/>
      </w:pPr>
      <w:r>
        <w:rPr>
          <w:rFonts w:ascii="Arial" w:cs="Arial" w:eastAsia="Arial" w:hAnsi="Arial"/>
          <w:color w:val="2C2C2A"/>
          <w:sz w:val="22"/>
          <w:szCs w:val="22"/>
        </w:rPr>
        <w:t xml:space="preserve">El método de cubetas (envelope method) es una estrategia de gestión financiera desarrollada originalmente por Dave Ramsey y adaptada en este sistema para ingresos irregulares. La idea central es que el dinero no existe como un total libre, sino como una colección de propósitos ya asignados.</w:t>
      </w:r>
    </w:p>
    <w:p>
      <w:pPr>
        <w:pStyle w:val="Heading2"/>
        <w:spacing w:before="240" w:after="120"/>
      </w:pPr>
      <w:r>
        <w:rPr>
          <w:rFonts w:ascii="Arial" w:cs="Arial" w:eastAsia="Arial" w:hAnsi="Arial"/>
          <w:b/>
          <w:bCs/>
          <w:color w:val="1D4E8C"/>
          <w:sz w:val="26"/>
          <w:szCs w:val="26"/>
        </w:rPr>
        <w:t xml:space="preserve">4.1 Por qué cubetas y no presupuesto mensual</w:t>
      </w:r>
    </w:p>
    <w:p>
      <w:pPr>
        <w:spacing w:before="60" w:after="100"/>
      </w:pPr>
      <w:r>
        <w:rPr>
          <w:rFonts w:ascii="Arial" w:cs="Arial" w:eastAsia="Arial" w:hAnsi="Arial"/>
          <w:color w:val="2C2C2A"/>
          <w:sz w:val="22"/>
          <w:szCs w:val="22"/>
        </w:rPr>
        <w:t xml:space="preserve">Un presupuesto mensual tradicional define montos fijos para cada categoría: "$3,000 para renta, $1,500 para comida, etc.". Este modelo tiene un fallo estructural para ingresos irregulares: asume que sabes de antemano cuánto vas a ganar.</w:t>
      </w:r>
    </w:p>
    <w:p>
      <w:pPr>
        <w:spacing w:before="60" w:after="100"/>
      </w:pPr>
      <w:r>
        <w:rPr>
          <w:rFonts w:ascii="Arial" w:cs="Arial" w:eastAsia="Arial" w:hAnsi="Arial"/>
          <w:color w:val="2C2C2A"/>
          <w:sz w:val="22"/>
          <w:szCs w:val="22"/>
        </w:rPr>
        <w:t xml:space="preserve">El sistema de cubetas trabaja con porcentajes del dinero que llegó, no del que se esperaba. Cuando entra $5,000, el 35% va a deudas, el 40% a vida fija, etc. Cuando entran $25,000, se aplican los mismos porcentajes. El sistema es proporcional y automático.</w:t>
      </w:r>
    </w:p>
    <w:p>
      <w:pPr>
        <w:pStyle w:val="Heading2"/>
        <w:spacing w:before="240" w:after="120"/>
      </w:pPr>
      <w:r>
        <w:rPr>
          <w:rFonts w:ascii="Arial" w:cs="Arial" w:eastAsia="Arial" w:hAnsi="Arial"/>
          <w:b/>
          <w:bCs/>
          <w:color w:val="1D4E8C"/>
          <w:sz w:val="26"/>
          <w:szCs w:val="26"/>
        </w:rPr>
        <w:t xml:space="preserve">4.2 Jerarquía de prioridades</w:t>
      </w:r>
    </w:p>
    <w:p>
      <w:pPr>
        <w:spacing w:before="60" w:after="100"/>
      </w:pPr>
      <w:r>
        <w:rPr>
          <w:rFonts w:ascii="Arial" w:cs="Arial" w:eastAsia="Arial" w:hAnsi="Arial"/>
          <w:color w:val="2C2C2A"/>
          <w:sz w:val="22"/>
          <w:szCs w:val="22"/>
        </w:rPr>
        <w:t xml:space="preserve">El orden de las cubetas no es arbitrario. Define qué se protege primero cuando el dinero es escaso:</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D4E8C" w:val="clear"/>
            <w:tcMar>
              <w:top w:type="dxa" w:w="80"/>
              <w:left w:type="dxa" w:w="140"/>
              <w:bottom w:type="dxa" w:w="80"/>
              <w:right w:type="dxa" w:w="140"/>
            </w:tcMar>
          </w:tcPr>
          <w:p>
            <w:r>
              <w:rPr>
                <w:rFonts w:ascii="Arial" w:cs="Arial" w:eastAsia="Arial" w:hAnsi="Arial"/>
                <w:b/>
                <w:bCs/>
                <w:color w:val="FFFFFF"/>
                <w:sz w:val="20"/>
                <w:szCs w:val="20"/>
              </w:rPr>
              <w:t xml:space="preserve">Cubeta (% sugerido)</w:t>
            </w:r>
          </w:p>
        </w:tc>
        <w:tc>
          <w:tcPr>
            <w:tcW w:type="dxa" w:w="6560"/>
            <w:tcBorders>
              <w:top w:val="single" w:color="CCCCCC" w:sz="1"/>
              <w:left w:val="single" w:color="CCCCCC" w:sz="1"/>
              <w:bottom w:val="single" w:color="CCCCCC" w:sz="1"/>
              <w:right w:val="single" w:color="CCCCCC" w:sz="1"/>
            </w:tcBorders>
            <w:shd w:fill="1D4E8C" w:val="clear"/>
            <w:tcMar>
              <w:top w:type="dxa" w:w="80"/>
              <w:left w:type="dxa" w:w="140"/>
              <w:bottom w:type="dxa" w:w="80"/>
              <w:right w:type="dxa" w:w="140"/>
            </w:tcMar>
          </w:tcPr>
          <w:p>
            <w:r>
              <w:rPr>
                <w:rFonts w:ascii="Arial" w:cs="Arial" w:eastAsia="Arial" w:hAnsi="Arial"/>
                <w:b/>
                <w:bCs/>
                <w:color w:val="FFFFFF"/>
                <w:sz w:val="20"/>
                <w:szCs w:val="20"/>
              </w:rPr>
              <w:t xml:space="preserve">Justificación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A"/>
                <w:sz w:val="20"/>
                <w:szCs w:val="20"/>
              </w:rPr>
              <w:t xml:space="preserve">1. Deudas críticas (35%)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A"/>
                <w:sz w:val="20"/>
                <w:szCs w:val="20"/>
              </w:rPr>
              <w:t xml:space="preserve">Pagar tarde tiene consecuencias inmediatas: intereses moratorios, daño al buró de crédito, cargos adicionales. Prioridad absoluta, especialmente con cuentas vencidas.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C2C2A"/>
                <w:sz w:val="20"/>
                <w:szCs w:val="20"/>
              </w:rPr>
              <w:t xml:space="preserve">2. Vida fija (40%)</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C2C2A"/>
                <w:sz w:val="20"/>
                <w:szCs w:val="20"/>
              </w:rPr>
              <w:t xml:space="preserve">Renta, servicios, comida esencial. No pagar tiene consecuencias directas e inmediatas en calidad de vida.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A"/>
                <w:sz w:val="20"/>
                <w:szCs w:val="20"/>
              </w:rPr>
              <w:t xml:space="preserve">3. Colchón (10%)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A"/>
                <w:sz w:val="20"/>
                <w:szCs w:val="20"/>
              </w:rPr>
              <w:t xml:space="preserve">Pequeño porcentaje intocable. Crítico durante transición de independencia: un imprevisto sin colchón obliga a usar tarjeta de crédito, creando deuda nueva.</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C2C2A"/>
                <w:sz w:val="20"/>
                <w:szCs w:val="20"/>
              </w:rPr>
              <w:t xml:space="preserve">4. Libre + pareja (15%)</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C2C2A"/>
                <w:sz w:val="20"/>
                <w:szCs w:val="20"/>
              </w:rPr>
              <w:t xml:space="preserve">Gastos de decisión, ocio, gastos compartidos. Último en la jerarquía, primero en recortarse cuando hay escasez.</w:t>
            </w:r>
          </w:p>
        </w:tc>
      </w:tr>
    </w:tbl>
    <w:p>
      <w:pPr>
        <w:spacing w:before="0" w:after="0"/>
      </w:pPr>
      <w:r>
        <w:t xml:space="preserve"/>
      </w:r>
    </w:p>
    <w:p>
      <w:pPr>
        <w:pBdr>
          <w:left w:val="single" w:color="0F6E56" w:sz="12" w:space="8"/>
        </w:pBdr>
        <w:spacing w:before="120" w:after="120"/>
        <w:ind w:left="360"/>
      </w:pPr>
      <w:r>
        <w:rPr>
          <w:rFonts w:ascii="Arial" w:cs="Arial" w:eastAsia="Arial" w:hAnsi="Arial"/>
          <w:i/>
          <w:iCs/>
          <w:color w:val="2C2C2A"/>
          <w:sz w:val="20"/>
          <w:szCs w:val="20"/>
        </w:rPr>
        <w:t xml:space="preserve">Los porcentajes son un punto de partida para tu perfil actual. Cuando las deudas estén liquidadas, el 35% que iba a deudas se redistribuirá: parte a colchón (construir fondo de emergencia de 3-6 meses), parte a inversión. El sistema soporta cambiar los porcentajes en cualquier momento.</w:t>
      </w:r>
    </w:p>
    <w:p>
      <w:pPr>
        <w:pStyle w:val="Heading2"/>
        <w:spacing w:before="240" w:after="120"/>
      </w:pPr>
      <w:r>
        <w:rPr>
          <w:rFonts w:ascii="Arial" w:cs="Arial" w:eastAsia="Arial" w:hAnsi="Arial"/>
          <w:b/>
          <w:bCs/>
          <w:color w:val="1D4E8C"/>
          <w:sz w:val="26"/>
          <w:szCs w:val="26"/>
        </w:rPr>
        <w:t xml:space="preserve">4.3 La regla del sobrante</w:t>
      </w:r>
    </w:p>
    <w:p>
      <w:pPr>
        <w:spacing w:before="60" w:after="100"/>
      </w:pPr>
      <w:r>
        <w:rPr>
          <w:rFonts w:ascii="Arial" w:cs="Arial" w:eastAsia="Arial" w:hAnsi="Arial"/>
          <w:color w:val="2C2C2A"/>
          <w:sz w:val="22"/>
          <w:szCs w:val="22"/>
        </w:rPr>
        <w:t xml:space="preserve">Si los porcentajes suman menos del 100%, la diferencia se llama sobrante. El motor NO lo distribuye automáticamente: lo marca explícitamente como "dinero sin asignar" y genera una notificación. Esta decisión de diseño es intencional:</w:t>
      </w:r>
    </w:p>
    <w:p>
      <w:pPr>
        <w:pBdr>
          <w:left w:val="single" w:color="1D4E8C" w:sz="12" w:space="8"/>
        </w:pBdr>
        <w:spacing w:before="120" w:after="120"/>
        <w:ind w:left="360"/>
      </w:pPr>
      <w:r>
        <w:rPr>
          <w:rFonts w:ascii="Arial" w:cs="Arial" w:eastAsia="Arial" w:hAnsi="Arial"/>
          <w:i/>
          <w:iCs/>
          <w:color w:val="2C2C2A"/>
          <w:sz w:val="20"/>
          <w:szCs w:val="20"/>
        </w:rPr>
        <w:t xml:space="preserve">El dinero "sobrante" es exactamente donde suele perderse sin intención. Hacerlo visible y convertirlo en una decisión explícita es la diferencia entre un sistema pasivo y un sistema que actúa como asesor financiero.</w:t>
      </w:r>
    </w:p>
    <w:p>
      <w:r>
        <w:br w:type="page"/>
      </w:r>
    </w:p>
    <w:p>
      <w:pPr>
        <w:pStyle w:val="Heading1"/>
        <w:pBdr>
          <w:bottom w:val="single" w:color="1D4E8C" w:sz="6" w:space="4"/>
        </w:pBdr>
        <w:spacing w:before="320" w:after="160"/>
      </w:pPr>
      <w:r>
        <w:rPr>
          <w:rFonts w:ascii="Arial" w:cs="Arial" w:eastAsia="Arial" w:hAnsi="Arial"/>
          <w:b/>
          <w:bCs/>
          <w:color w:val="1D4E8C"/>
          <w:sz w:val="32"/>
          <w:szCs w:val="32"/>
        </w:rPr>
        <w:t xml:space="preserve">5. Motor de deudas (Sección D)</w:t>
      </w:r>
    </w:p>
    <w:p>
      <w:pPr>
        <w:spacing w:before="60" w:after="100"/>
      </w:pPr>
      <w:r>
        <w:rPr>
          <w:rFonts w:ascii="Arial" w:cs="Arial" w:eastAsia="Arial" w:hAnsi="Arial"/>
          <w:color w:val="2C2C2A"/>
          <w:sz w:val="22"/>
          <w:szCs w:val="22"/>
        </w:rPr>
        <w:t xml:space="preserve">El motor de deudas es el componente más complejo y más valioso del sistema. Convierte deudas abstractas en realidades concretas con fechas y montos exactos, y responde la pregunta central: dado el dinero disponible para deudas este período, ¿cómo lo distribuyo para salir más rápido y pagar menos intereses?</w:t>
      </w:r>
    </w:p>
    <w:p>
      <w:pPr>
        <w:pStyle w:val="Heading2"/>
        <w:spacing w:before="240" w:after="120"/>
      </w:pPr>
      <w:r>
        <w:rPr>
          <w:rFonts w:ascii="Arial" w:cs="Arial" w:eastAsia="Arial" w:hAnsi="Arial"/>
          <w:b/>
          <w:bCs/>
          <w:color w:val="1D4E8C"/>
          <w:sz w:val="26"/>
          <w:szCs w:val="26"/>
        </w:rPr>
        <w:t xml:space="preserve">5.1 La trampa del pago mínimo</w:t>
      </w:r>
    </w:p>
    <w:p>
      <w:pPr>
        <w:spacing w:before="60" w:after="100"/>
      </w:pPr>
      <w:r>
        <w:rPr>
          <w:rFonts w:ascii="Arial" w:cs="Arial" w:eastAsia="Arial" w:hAnsi="Arial"/>
          <w:color w:val="2C2C2A"/>
          <w:sz w:val="22"/>
          <w:szCs w:val="22"/>
        </w:rPr>
        <w:t xml:space="preserve">La función proyectar_deuda() detecta y alerta sobre la situación más peligrosa en deudas de tarjeta de crédito: si el pago mensual no cubre los intereses generados en ese mes, la deuda CRECE aunque pagues.</w:t>
      </w:r>
    </w:p>
    <w:p>
      <w:pPr>
        <w:spacing w:before="60" w:after="100"/>
      </w:pPr>
      <w:r>
        <w:rPr>
          <w:rFonts w:ascii="Arial" w:cs="Arial" w:eastAsia="Arial" w:hAnsi="Arial"/>
          <w:color w:val="2C2C2A"/>
          <w:sz w:val="22"/>
          <w:szCs w:val="22"/>
        </w:rPr>
        <w:t xml:space="preserve">Esto ocurre cuando se combina tasa muy alta con pago mínimo bajo. El banco está legalmente obligado a requerir un mínimo, pero ese mínimo puede ser inferior a los intereses del período.</w:t>
      </w:r>
    </w:p>
    <w:p>
      <w:pPr>
        <w:spacing w:before="40" w:after="40"/>
        <w:ind w:left="360"/>
      </w:pPr>
      <w:r>
        <w:rPr>
          <w:rFonts w:ascii="Courier New" w:cs="Courier New" w:eastAsia="Courier New" w:hAnsi="Courier New"/>
          <w:color w:val="1D4E8C"/>
          <w:sz w:val="18"/>
          <w:szCs w:val="18"/>
        </w:rPr>
        <w:t xml:space="preserve">resultado = proyectar_deuda(18500, 0.60, pago_mensual=1500)</w:t>
      </w:r>
    </w:p>
    <w:p>
      <w:pPr>
        <w:spacing w:before="40" w:after="40"/>
        <w:ind w:left="360"/>
      </w:pPr>
      <w:r>
        <w:rPr>
          <w:rFonts w:ascii="Courier New" w:cs="Courier New" w:eastAsia="Courier New" w:hAnsi="Courier New"/>
          <w:color w:val="1D4E8C"/>
          <w:sz w:val="18"/>
          <w:szCs w:val="18"/>
        </w:rPr>
        <w:t xml:space="preserve"># → meses para liquidar: 23</w:t>
      </w:r>
    </w:p>
    <w:p>
      <w:pPr>
        <w:spacing w:before="40" w:after="40"/>
        <w:ind w:left="360"/>
      </w:pPr>
      <w:r>
        <w:rPr>
          <w:rFonts w:ascii="Courier New" w:cs="Courier New" w:eastAsia="Courier New" w:hAnsi="Courier New"/>
          <w:color w:val="1D4E8C"/>
          <w:sz w:val="18"/>
          <w:szCs w:val="18"/>
        </w:rPr>
        <w:t xml:space="preserve"># → total pagado: $33,436.13</w:t>
      </w:r>
    </w:p>
    <w:p>
      <w:pPr>
        <w:spacing w:before="40" w:after="40"/>
        <w:ind w:left="360"/>
      </w:pPr>
      <w:r>
        <w:rPr>
          <w:rFonts w:ascii="Courier New" w:cs="Courier New" w:eastAsia="Courier New" w:hAnsi="Courier New"/>
          <w:color w:val="1D4E8C"/>
          <w:sz w:val="18"/>
          <w:szCs w:val="18"/>
        </w:rPr>
        <w:t xml:space="preserve"># → total en intereses: $14,936.13 (80.7% del saldo original)</w:t>
      </w:r>
    </w:p>
    <w:p>
      <w:pPr>
        <w:pBdr>
          <w:left w:val="single" w:color="1D4E8C" w:sz="12" w:space="8"/>
        </w:pBdr>
        <w:spacing w:before="120" w:after="120"/>
        <w:ind w:left="360"/>
      </w:pPr>
      <w:r>
        <w:rPr>
          <w:rFonts w:ascii="Arial" w:cs="Arial" w:eastAsia="Arial" w:hAnsi="Arial"/>
          <w:i/>
          <w:iCs/>
          <w:color w:val="2C2C2A"/>
          <w:sz w:val="20"/>
          <w:szCs w:val="20"/>
        </w:rPr>
        <w:t xml:space="preserve">Pagar $1,500/mes en una tarjeta de $18,500 significa pagar $14,936 adicionales en intereses. Ver este número —no la tasa abstracta— es lo que activa decisiones diferentes.</w:t>
      </w:r>
    </w:p>
    <w:p>
      <w:pPr>
        <w:pStyle w:val="Heading2"/>
        <w:spacing w:before="240" w:after="120"/>
      </w:pPr>
      <w:r>
        <w:rPr>
          <w:rFonts w:ascii="Arial" w:cs="Arial" w:eastAsia="Arial" w:hAnsi="Arial"/>
          <w:b/>
          <w:bCs/>
          <w:color w:val="1D4E8C"/>
          <w:sz w:val="26"/>
          <w:szCs w:val="26"/>
        </w:rPr>
        <w:t xml:space="preserve">5.2 Las dos estrategias de pago</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D4E8C" w:val="clear"/>
            <w:tcMar>
              <w:top w:type="dxa" w:w="80"/>
              <w:left w:type="dxa" w:w="140"/>
              <w:bottom w:type="dxa" w:w="80"/>
              <w:right w:type="dxa" w:w="140"/>
            </w:tcMar>
          </w:tcPr>
          <w:p>
            <w:r>
              <w:rPr>
                <w:rFonts w:ascii="Arial" w:cs="Arial" w:eastAsia="Arial" w:hAnsi="Arial"/>
                <w:b/>
                <w:bCs/>
                <w:color w:val="FFFFFF"/>
                <w:sz w:val="20"/>
                <w:szCs w:val="20"/>
              </w:rPr>
              <w:t xml:space="preserve">Estrategia</w:t>
            </w:r>
          </w:p>
        </w:tc>
        <w:tc>
          <w:tcPr>
            <w:tcW w:type="dxa" w:w="6560"/>
            <w:tcBorders>
              <w:top w:val="single" w:color="CCCCCC" w:sz="1"/>
              <w:left w:val="single" w:color="CCCCCC" w:sz="1"/>
              <w:bottom w:val="single" w:color="CCCCCC" w:sz="1"/>
              <w:right w:val="single" w:color="CCCCCC" w:sz="1"/>
            </w:tcBorders>
            <w:shd w:fill="1D4E8C" w:val="clear"/>
            <w:tcMar>
              <w:top w:type="dxa" w:w="80"/>
              <w:left w:type="dxa" w:w="140"/>
              <w:bottom w:type="dxa" w:w="80"/>
              <w:right w:type="dxa" w:w="140"/>
            </w:tcMar>
          </w:tcPr>
          <w:p>
            <w:r>
              <w:rPr>
                <w:rFonts w:ascii="Arial" w:cs="Arial" w:eastAsia="Arial" w:hAnsi="Arial"/>
                <w:b/>
                <w:bCs/>
                <w:color w:val="FFFFFF"/>
                <w:sz w:val="20"/>
                <w:szCs w:val="20"/>
              </w:rPr>
              <w:t xml:space="preserve">Descripción y recomendación de uso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A"/>
                <w:sz w:val="20"/>
                <w:szCs w:val="20"/>
              </w:rPr>
              <w:t xml:space="preserve">Bola de nieve (snowball)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A"/>
                <w:sz w:val="20"/>
                <w:szCs w:val="20"/>
              </w:rPr>
              <w:t xml:space="preserve">Mínimos en todas → excedente a la deuda de MENOR SALDO.
Ventaja: liquidas cuentas más rápido, mayor motivación con quick-wins.
Desventaja: pagas algo más de intereses totales.
Recomendada para: inicio del proceso, perfiles con dificultad para mantener disciplina.</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C2C2A"/>
                <w:sz w:val="20"/>
                <w:szCs w:val="20"/>
              </w:rPr>
              <w:t xml:space="preserve">Avalancha (avalanche)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C2C2A"/>
                <w:sz w:val="20"/>
                <w:szCs w:val="20"/>
              </w:rPr>
              <w:t xml:space="preserve">Mínimos en todas → excedente a la deuda de MAYOR TASA.
Ventaja: pagas menos intereses totales. Matemáticamente óptima.
Desventaja: puede tardar meses en ver la primera cuenta liquidada.
Recomendada para: cuando el ahorro supera $2,000 y hay disciplina establecida.</w:t>
            </w:r>
          </w:p>
        </w:tc>
      </w:tr>
    </w:tbl>
    <w:p>
      <w:pPr>
        <w:spacing w:before="0" w:after="0"/>
      </w:pPr>
      <w:r>
        <w:t xml:space="preserve"/>
      </w:r>
    </w:p>
    <w:p>
      <w:pPr>
        <w:pStyle w:val="Heading2"/>
        <w:spacing w:before="240" w:after="120"/>
      </w:pPr>
      <w:r>
        <w:rPr>
          <w:rFonts w:ascii="Arial" w:cs="Arial" w:eastAsia="Arial" w:hAnsi="Arial"/>
          <w:b/>
          <w:bCs/>
          <w:color w:val="1D4E8C"/>
          <w:sz w:val="26"/>
          <w:szCs w:val="26"/>
        </w:rPr>
        <w:t xml:space="preserve">5.3 La cascada — el mecanismo de aceleración</w:t>
      </w:r>
    </w:p>
    <w:p>
      <w:pPr>
        <w:spacing w:before="60" w:after="100"/>
      </w:pPr>
      <w:r>
        <w:rPr>
          <w:rFonts w:ascii="Arial" w:cs="Arial" w:eastAsia="Arial" w:hAnsi="Arial"/>
          <w:color w:val="2C2C2A"/>
          <w:sz w:val="22"/>
          <w:szCs w:val="22"/>
        </w:rPr>
        <w:t xml:space="preserve">Cuando la deuda objetivo se liquida, el dinero que le asignabas NO se convierte en dinero libre: se redirige automáticamente a la siguiente deuda en la lista. Este mecanismo, llamado cascada o snowball roll, acelera exponencialmente la liquidación.</w:t>
      </w:r>
    </w:p>
    <w:p>
      <w:pPr>
        <w:spacing w:before="60" w:after="100"/>
      </w:pPr>
      <w:r>
        <w:rPr>
          <w:rFonts w:ascii="Arial" w:cs="Arial" w:eastAsia="Arial" w:hAnsi="Arial"/>
          <w:color w:val="2C2C2A"/>
          <w:sz w:val="22"/>
          <w:szCs w:val="22"/>
        </w:rPr>
        <w:t xml:space="preserve">Ejemplo con dos deudas y $2,500 mensuales para deudas:</w:t>
      </w:r>
    </w:p>
    <w:p>
      <w:pPr>
        <w:pStyle w:val="ListParagraph"/>
        <w:numPr>
          <w:ilvl w:val="0"/>
          <w:numId w:val="2"/>
        </w:numPr>
        <w:spacing w:before="40" w:after="40"/>
      </w:pPr>
      <w:r>
        <w:rPr>
          <w:rFonts w:ascii="Arial" w:cs="Arial" w:eastAsia="Arial" w:hAnsi="Arial"/>
          <w:color w:val="2C2C2A"/>
          <w:sz w:val="22"/>
          <w:szCs w:val="22"/>
        </w:rPr>
        <w:t xml:space="preserve">Tarjeta BBVA ($18,500): recibe mínimo $650 + excedente $650 = $1,300/mes</w:t>
      </w:r>
    </w:p>
    <w:p>
      <w:pPr>
        <w:pStyle w:val="ListParagraph"/>
        <w:numPr>
          <w:ilvl w:val="0"/>
          <w:numId w:val="2"/>
        </w:numPr>
        <w:spacing w:before="40" w:after="40"/>
      </w:pPr>
      <w:r>
        <w:rPr>
          <w:rFonts w:ascii="Arial" w:cs="Arial" w:eastAsia="Arial" w:hAnsi="Arial"/>
          <w:color w:val="2C2C2A"/>
          <w:sz w:val="22"/>
          <w:szCs w:val="22"/>
        </w:rPr>
        <w:t xml:space="preserve">Crédito personal ($32,000): recibe solo su mínimo $1,200/mes</w:t>
      </w:r>
    </w:p>
    <w:p>
      <w:pPr>
        <w:pStyle w:val="ListParagraph"/>
        <w:numPr>
          <w:ilvl w:val="0"/>
          <w:numId w:val="2"/>
        </w:numPr>
        <w:spacing w:before="40" w:after="40"/>
      </w:pPr>
      <w:r>
        <w:rPr>
          <w:rFonts w:ascii="Arial" w:cs="Arial" w:eastAsia="Arial" w:hAnsi="Arial"/>
          <w:color w:val="2C2C2A"/>
          <w:sz w:val="22"/>
          <w:szCs w:val="22"/>
        </w:rPr>
        <w:t xml:space="preserve">Cuando la tarjeta se liquida (meses 18-20), los $1,300 que iban a ella se redirigen al crédito personal.</w:t>
      </w:r>
    </w:p>
    <w:p>
      <w:pPr>
        <w:pStyle w:val="ListParagraph"/>
        <w:numPr>
          <w:ilvl w:val="0"/>
          <w:numId w:val="2"/>
        </w:numPr>
        <w:spacing w:before="40" w:after="40"/>
      </w:pPr>
      <w:r>
        <w:rPr>
          <w:rFonts w:ascii="Arial" w:cs="Arial" w:eastAsia="Arial" w:hAnsi="Arial"/>
          <w:color w:val="2C2C2A"/>
          <w:sz w:val="22"/>
          <w:szCs w:val="22"/>
        </w:rPr>
        <w:t xml:space="preserve">El crédito personal pasa de recibir $1,200/mes a $2,500/mes — acelera significativamente su liquidación.</w:t>
      </w:r>
    </w:p>
    <w:p>
      <w:r>
        <w:br w:type="page"/>
      </w:r>
    </w:p>
    <w:p>
      <w:pPr>
        <w:pStyle w:val="Heading1"/>
        <w:pBdr>
          <w:bottom w:val="single" w:color="1D4E8C" w:sz="6" w:space="4"/>
        </w:pBdr>
        <w:spacing w:before="320" w:after="160"/>
      </w:pPr>
      <w:r>
        <w:rPr>
          <w:rFonts w:ascii="Arial" w:cs="Arial" w:eastAsia="Arial" w:hAnsi="Arial"/>
          <w:b/>
          <w:bCs/>
          <w:color w:val="1D4E8C"/>
          <w:sz w:val="32"/>
          <w:szCs w:val="32"/>
        </w:rPr>
        <w:t xml:space="preserve">6. Comparador de estrategias (Sección E)</w:t>
      </w:r>
    </w:p>
    <w:p>
      <w:pPr>
        <w:spacing w:before="60" w:after="100"/>
      </w:pPr>
      <w:r>
        <w:rPr>
          <w:rFonts w:ascii="Arial" w:cs="Arial" w:eastAsia="Arial" w:hAnsi="Arial"/>
          <w:color w:val="2C2C2A"/>
          <w:sz w:val="22"/>
          <w:szCs w:val="22"/>
        </w:rPr>
        <w:t xml:space="preserve">El comparador proyecta ambas estrategias mes a mes hasta liquidar todas las deudas y recomienda cuál usar. Existe como función separada de distribuir_pago_deudas() porque responde una pregunta diferente: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D4E8C" w:val="clear"/>
            <w:tcMar>
              <w:top w:type="dxa" w:w="80"/>
              <w:left w:type="dxa" w:w="140"/>
              <w:bottom w:type="dxa" w:w="80"/>
              <w:right w:type="dxa" w:w="140"/>
            </w:tcMar>
          </w:tcPr>
          <w:p>
            <w:r>
              <w:rPr>
                <w:rFonts w:ascii="Arial" w:cs="Arial" w:eastAsia="Arial" w:hAnsi="Arial"/>
                <w:b/>
                <w:bCs/>
                <w:color w:val="FFFFFF"/>
                <w:sz w:val="20"/>
                <w:szCs w:val="20"/>
              </w:rPr>
              <w:t xml:space="preserve">Función</w:t>
            </w:r>
          </w:p>
        </w:tc>
        <w:tc>
          <w:tcPr>
            <w:tcW w:type="dxa" w:w="5760"/>
            <w:tcBorders>
              <w:top w:val="single" w:color="CCCCCC" w:sz="1"/>
              <w:left w:val="single" w:color="CCCCCC" w:sz="1"/>
              <w:bottom w:val="single" w:color="CCCCCC" w:sz="1"/>
              <w:right w:val="single" w:color="CCCCCC" w:sz="1"/>
            </w:tcBorders>
            <w:shd w:fill="1D4E8C" w:val="clear"/>
            <w:tcMar>
              <w:top w:type="dxa" w:w="80"/>
              <w:left w:type="dxa" w:w="140"/>
              <w:bottom w:type="dxa" w:w="80"/>
              <w:right w:type="dxa" w:w="140"/>
            </w:tcMar>
          </w:tcPr>
          <w:p>
            <w:r>
              <w:rPr>
                <w:rFonts w:ascii="Arial" w:cs="Arial" w:eastAsia="Arial" w:hAnsi="Arial"/>
                <w:b/>
                <w:bCs/>
                <w:color w:val="FFFFFF"/>
                <w:sz w:val="20"/>
                <w:szCs w:val="20"/>
              </w:rPr>
              <w:t xml:space="preserve">Pregunta que responde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A"/>
                <w:sz w:val="20"/>
                <w:szCs w:val="20"/>
              </w:rPr>
              <w:t xml:space="preserve">distribuir_pago_deudas()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A"/>
                <w:sz w:val="20"/>
                <w:szCs w:val="20"/>
              </w:rPr>
              <w:t xml:space="preserve">¿Qué hago HOY con este dinero?</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C2C2A"/>
                <w:sz w:val="20"/>
                <w:szCs w:val="20"/>
              </w:rPr>
              <w:t xml:space="preserve">comparar_estrategias()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C2C2A"/>
                <w:sz w:val="20"/>
                <w:szCs w:val="20"/>
              </w:rPr>
              <w:t xml:space="preserve">¿Qué estrategia me conviene durante los próximos N meses?</w:t>
            </w:r>
          </w:p>
        </w:tc>
      </w:tr>
    </w:tbl>
    <w:p>
      <w:pPr>
        <w:spacing w:before="0" w:after="0"/>
      </w:pPr>
      <w:r>
        <w:t xml:space="preserve"/>
      </w:r>
    </w:p>
    <w:p>
      <w:pPr>
        <w:spacing w:before="60" w:after="100"/>
      </w:pPr>
      <w:r>
        <w:rPr>
          <w:rFonts w:ascii="Arial" w:cs="Arial" w:eastAsia="Arial" w:hAnsi="Arial"/>
          <w:color w:val="2C2C2A"/>
          <w:sz w:val="22"/>
          <w:szCs w:val="22"/>
        </w:rPr>
        <w:t xml:space="preserve">El umbral de decisión (por defecto $2,000) determina cuándo el ahorro de avalancha justifica sacrificar los quick-wins de bola de nieve. Este umbral es configurable y en versiones futuras se calculará automáticamente como porcentaje del ingreso mensual promedio del usuario.</w:t>
      </w:r>
    </w:p>
    <w:p>
      <w:pPr>
        <w:pStyle w:val="Heading2"/>
        <w:spacing w:before="240" w:after="120"/>
      </w:pPr>
      <w:r>
        <w:rPr>
          <w:rFonts w:ascii="Arial" w:cs="Arial" w:eastAsia="Arial" w:hAnsi="Arial"/>
          <w:b/>
          <w:bCs/>
          <w:color w:val="1D4E8C"/>
          <w:sz w:val="26"/>
          <w:szCs w:val="26"/>
        </w:rPr>
        <w:t xml:space="preserve">6.1 Resultado de ejemplo</w:t>
      </w:r>
    </w:p>
    <w:p>
      <w:pPr>
        <w:spacing w:before="60" w:after="100"/>
      </w:pPr>
      <w:r>
        <w:rPr>
          <w:rFonts w:ascii="Arial" w:cs="Arial" w:eastAsia="Arial" w:hAnsi="Arial"/>
          <w:color w:val="2C2C2A"/>
          <w:sz w:val="22"/>
          <w:szCs w:val="22"/>
        </w:rPr>
        <w:t xml:space="preserve">Con los datos de ejemplo (deuda total $50,500, pago mensual $2,500):</w:t>
      </w:r>
    </w:p>
    <w:p>
      <w:pPr>
        <w:pStyle w:val="ListParagraph"/>
        <w:numPr>
          <w:ilvl w:val="0"/>
          <w:numId w:val="2"/>
        </w:numPr>
        <w:spacing w:before="40" w:after="40"/>
      </w:pPr>
      <w:r>
        <w:rPr>
          <w:rFonts w:ascii="Arial" w:cs="Arial" w:eastAsia="Arial" w:hAnsi="Arial"/>
          <w:color w:val="2C2C2A"/>
          <w:sz w:val="22"/>
          <w:szCs w:val="22"/>
        </w:rPr>
        <w:t xml:space="preserve">Ambas estrategias tardan 45 meses y cuestan $112,500 en pagos totales.</w:t>
      </w:r>
    </w:p>
    <w:p>
      <w:pPr>
        <w:pStyle w:val="ListParagraph"/>
        <w:numPr>
          <w:ilvl w:val="0"/>
          <w:numId w:val="2"/>
        </w:numPr>
        <w:spacing w:before="40" w:after="40"/>
      </w:pPr>
      <w:r>
        <w:rPr>
          <w:rFonts w:ascii="Arial" w:cs="Arial" w:eastAsia="Arial" w:hAnsi="Arial"/>
          <w:color w:val="2C2C2A"/>
          <w:sz w:val="22"/>
          <w:szCs w:val="22"/>
        </w:rPr>
        <w:t xml:space="preserve">La diferencia en este caso es $0 porque los montos y tasas generan el mismo resultado con estos pagos específicos.</w:t>
      </w:r>
    </w:p>
    <w:p>
      <w:pPr>
        <w:pStyle w:val="ListParagraph"/>
        <w:numPr>
          <w:ilvl w:val="0"/>
          <w:numId w:val="2"/>
        </w:numPr>
        <w:spacing w:before="40" w:after="40"/>
      </w:pPr>
      <w:r>
        <w:rPr>
          <w:rFonts w:ascii="Arial" w:cs="Arial" w:eastAsia="Arial" w:hAnsi="Arial"/>
          <w:color w:val="2C2C2A"/>
          <w:sz w:val="22"/>
          <w:szCs w:val="22"/>
        </w:rPr>
        <w:t xml:space="preserve">El sistema recomienda bola de nieve por los quick-wins, dado que no hay beneficio matemático en avalancha.</w:t>
      </w:r>
    </w:p>
    <w:p>
      <w:pPr>
        <w:pBdr>
          <w:left w:val="single" w:color="0F6E56" w:sz="12" w:space="8"/>
        </w:pBdr>
        <w:spacing w:before="120" w:after="120"/>
        <w:ind w:left="360"/>
      </w:pPr>
      <w:r>
        <w:rPr>
          <w:rFonts w:ascii="Arial" w:cs="Arial" w:eastAsia="Arial" w:hAnsi="Arial"/>
          <w:i/>
          <w:iCs/>
          <w:color w:val="2C2C2A"/>
          <w:sz w:val="20"/>
          <w:szCs w:val="20"/>
        </w:rPr>
        <w:t xml:space="preserve">Cuando aumentes el pago mensual a deudas (por ejemplo al crecer ingresos), la diferencia entre estrategias sí aparecerá porque hay más excedente para atacar la deuda objetivo. El comparador recalcula automáticamente.</w:t>
      </w:r>
    </w:p>
    <w:p>
      <w:r>
        <w:br w:type="page"/>
      </w:r>
    </w:p>
    <w:p>
      <w:pPr>
        <w:pStyle w:val="Heading1"/>
        <w:pBdr>
          <w:bottom w:val="single" w:color="1D4E8C" w:sz="6" w:space="4"/>
        </w:pBdr>
        <w:spacing w:before="320" w:after="160"/>
      </w:pPr>
      <w:r>
        <w:rPr>
          <w:rFonts w:ascii="Arial" w:cs="Arial" w:eastAsia="Arial" w:hAnsi="Arial"/>
          <w:b/>
          <w:bCs/>
          <w:color w:val="1D4E8C"/>
          <w:sz w:val="32"/>
          <w:szCs w:val="32"/>
        </w:rPr>
        <w:t xml:space="preserve">7. Calendario y recordatorios (Sección F)</w:t>
      </w:r>
    </w:p>
    <w:p>
      <w:pPr>
        <w:spacing w:before="60" w:after="100"/>
      </w:pPr>
      <w:r>
        <w:rPr>
          <w:rFonts w:ascii="Arial" w:cs="Arial" w:eastAsia="Arial" w:hAnsi="Arial"/>
          <w:color w:val="2C2C2A"/>
          <w:sz w:val="22"/>
          <w:szCs w:val="22"/>
        </w:rPr>
        <w:t xml:space="preserve">El calendario convierte datos financieros abstractos en una línea de tiempo accionable. No es solo un display: es donde la lógica del motor se conecta con el tiempo real.</w:t>
      </w:r>
    </w:p>
    <w:p>
      <w:pPr>
        <w:pStyle w:val="Heading2"/>
        <w:spacing w:before="240" w:after="120"/>
      </w:pPr>
      <w:r>
        <w:rPr>
          <w:rFonts w:ascii="Arial" w:cs="Arial" w:eastAsia="Arial" w:hAnsi="Arial"/>
          <w:b/>
          <w:bCs/>
          <w:color w:val="1D4E8C"/>
          <w:sz w:val="26"/>
          <w:szCs w:val="26"/>
        </w:rPr>
        <w:t xml:space="preserve">7.1 Tipos de eventos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D4E8C" w:val="clear"/>
            <w:tcMar>
              <w:top w:type="dxa" w:w="80"/>
              <w:left w:type="dxa" w:w="140"/>
              <w:bottom w:type="dxa" w:w="80"/>
              <w:right w:type="dxa" w:w="140"/>
            </w:tcMar>
          </w:tcPr>
          <w:p>
            <w:r>
              <w:rPr>
                <w:rFonts w:ascii="Arial" w:cs="Arial" w:eastAsia="Arial" w:hAnsi="Arial"/>
                <w:b/>
                <w:bCs/>
                <w:color w:val="FFFFFF"/>
                <w:sz w:val="20"/>
                <w:szCs w:val="20"/>
              </w:rPr>
              <w:t xml:space="preserve">Tipo de evento</w:t>
            </w:r>
          </w:p>
        </w:tc>
        <w:tc>
          <w:tcPr>
            <w:tcW w:type="dxa" w:w="7160"/>
            <w:tcBorders>
              <w:top w:val="single" w:color="CCCCCC" w:sz="1"/>
              <w:left w:val="single" w:color="CCCCCC" w:sz="1"/>
              <w:bottom w:val="single" w:color="CCCCCC" w:sz="1"/>
              <w:right w:val="single" w:color="CCCCCC" w:sz="1"/>
            </w:tcBorders>
            <w:shd w:fill="1D4E8C" w:val="clear"/>
            <w:tcMar>
              <w:top w:type="dxa" w:w="80"/>
              <w:left w:type="dxa" w:w="140"/>
              <w:bottom w:type="dxa" w:w="80"/>
              <w:right w:type="dxa" w:w="140"/>
            </w:tcMar>
          </w:tcPr>
          <w:p>
            <w:r>
              <w:rPr>
                <w:rFonts w:ascii="Arial" w:cs="Arial" w:eastAsia="Arial" w:hAnsi="Arial"/>
                <w:b/>
                <w:bCs/>
                <w:color w:val="FFFFFF"/>
                <w:sz w:val="20"/>
                <w:szCs w:val="20"/>
              </w:rPr>
              <w:t xml:space="preserve">Lógica y urgencia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A"/>
                <w:sz w:val="20"/>
                <w:szCs w:val="20"/>
              </w:rPr>
              <w:t xml:space="preserve">alerta_corte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A"/>
                <w:sz w:val="20"/>
                <w:szCs w:val="20"/>
              </w:rPr>
              <w:t xml:space="preserve">3 días antes del corte de la tarjeta. Urgencia media. Si pagas antes del corte, reduces el saldo que generará intereses en el próximo período.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C2C2A"/>
                <w:sz w:val="20"/>
                <w:szCs w:val="20"/>
              </w:rPr>
              <w:t xml:space="preserve">recordatorio_pago</w:t>
            </w:r>
          </w:p>
        </w:tc>
        <w:tc>
          <w:tcPr>
            <w:tcW w:type="dxa" w:w="7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C2C2A"/>
                <w:sz w:val="20"/>
                <w:szCs w:val="20"/>
              </w:rPr>
              <w:t xml:space="preserve">7 días antes del vencimiento. Urgencia alta si la cuenta está vencida.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A"/>
                <w:sz w:val="20"/>
                <w:szCs w:val="20"/>
              </w:rPr>
              <w:t xml:space="preserve">pago_vence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A"/>
                <w:sz w:val="20"/>
                <w:szCs w:val="20"/>
              </w:rPr>
              <w:t xml:space="preserve">El día del vencimiento. Urgencia crítica. Genera notificación de sistema inmediata.</w:t>
            </w:r>
          </w:p>
        </w:tc>
      </w:tr>
    </w:tbl>
    <w:p>
      <w:pPr>
        <w:spacing w:before="0" w:after="0"/>
      </w:pPr>
      <w:r>
        <w:t xml:space="preserve"/>
      </w:r>
    </w:p>
    <w:p>
      <w:pPr>
        <w:pStyle w:val="Heading2"/>
        <w:spacing w:before="240" w:after="120"/>
      </w:pPr>
      <w:r>
        <w:rPr>
          <w:rFonts w:ascii="Arial" w:cs="Arial" w:eastAsia="Arial" w:hAnsi="Arial"/>
          <w:b/>
          <w:bCs/>
          <w:color w:val="1D4E8C"/>
          <w:sz w:val="26"/>
          <w:szCs w:val="26"/>
        </w:rPr>
        <w:t xml:space="preserve">7.2 Por qué alertar antes del corte y no solo del vencimiento</w:t>
      </w:r>
    </w:p>
    <w:p>
      <w:pPr>
        <w:spacing w:before="60" w:after="100"/>
      </w:pPr>
      <w:r>
        <w:rPr>
          <w:rFonts w:ascii="Arial" w:cs="Arial" w:eastAsia="Arial" w:hAnsi="Arial"/>
          <w:color w:val="2C2C2A"/>
          <w:sz w:val="22"/>
          <w:szCs w:val="22"/>
        </w:rPr>
        <w:t xml:space="preserve">En tarjetas de crédito mexicanas, el ciclo es: día de corte (el banco cierra el período y genera el estado de cuenta) → día de pago (fecha límite, generalmente corte + 20 días).</w:t>
      </w:r>
    </w:p>
    <w:p>
      <w:pPr>
        <w:spacing w:before="60" w:after="100"/>
      </w:pPr>
      <w:r>
        <w:rPr>
          <w:rFonts w:ascii="Arial" w:cs="Arial" w:eastAsia="Arial" w:hAnsi="Arial"/>
          <w:color w:val="2C2C2A"/>
          <w:sz w:val="22"/>
          <w:szCs w:val="22"/>
        </w:rPr>
        <w:t xml:space="preserve">Si pagas ANTES del corte, reduces el saldo que aparecerá en el estado de cuenta, lo que reduce la base sobre la que se calcularán los intereses del próximo período. Si pagas entre el corte y el vencimiento, ya generaste intereses sobre el saldo que tenías al corte.</w:t>
      </w:r>
    </w:p>
    <w:p>
      <w:pPr>
        <w:pBdr>
          <w:left w:val="single" w:color="1D4E8C" w:sz="12" w:space="8"/>
        </w:pBdr>
        <w:spacing w:before="120" w:after="120"/>
        <w:ind w:left="360"/>
      </w:pPr>
      <w:r>
        <w:rPr>
          <w:rFonts w:ascii="Arial" w:cs="Arial" w:eastAsia="Arial" w:hAnsi="Arial"/>
          <w:i/>
          <w:iCs/>
          <w:color w:val="2C2C2A"/>
          <w:sz w:val="20"/>
          <w:szCs w:val="20"/>
        </w:rPr>
        <w:t xml:space="preserve">Alerta 3 días antes del corte + alerta 7 días antes del vencimiento = dos oportunidades de actuar, cada una con consecuencias financieras distintas. La mayoría de apps solo alertan antes del vencimiento, perdiendo la oportunidad de reducir la base de intereses.</w:t>
      </w:r>
    </w:p>
    <w:p>
      <w:r>
        <w:br w:type="page"/>
      </w:r>
    </w:p>
    <w:p>
      <w:pPr>
        <w:pStyle w:val="Heading1"/>
        <w:pBdr>
          <w:bottom w:val="single" w:color="1D4E8C" w:sz="6" w:space="4"/>
        </w:pBdr>
        <w:spacing w:before="320" w:after="160"/>
      </w:pPr>
      <w:r>
        <w:rPr>
          <w:rFonts w:ascii="Arial" w:cs="Arial" w:eastAsia="Arial" w:hAnsi="Arial"/>
          <w:b/>
          <w:bCs/>
          <w:color w:val="1D4E8C"/>
          <w:sz w:val="32"/>
          <w:szCs w:val="32"/>
        </w:rPr>
        <w:t xml:space="preserve">8. Hoja de ruta — próximas fases</w:t>
      </w:r>
    </w:p>
    <w:p>
      <w:pPr>
        <w:pStyle w:val="Heading2"/>
        <w:spacing w:before="240" w:after="120"/>
      </w:pPr>
      <w:r>
        <w:rPr>
          <w:rFonts w:ascii="Arial" w:cs="Arial" w:eastAsia="Arial" w:hAnsi="Arial"/>
          <w:b/>
          <w:bCs/>
          <w:color w:val="1D4E8C"/>
          <w:sz w:val="26"/>
          <w:szCs w:val="26"/>
        </w:rPr>
        <w:t xml:space="preserve">Fase 1 (completada) — Motor de lógica</w:t>
      </w:r>
    </w:p>
    <w:p>
      <w:pPr>
        <w:pStyle w:val="ListParagraph"/>
        <w:numPr>
          <w:ilvl w:val="0"/>
          <w:numId w:val="2"/>
        </w:numPr>
        <w:spacing w:before="40" w:after="40"/>
      </w:pPr>
      <w:r>
        <w:rPr>
          <w:rFonts w:ascii="Arial" w:cs="Arial" w:eastAsia="Arial" w:hAnsi="Arial"/>
          <w:color w:val="2C2C2A"/>
          <w:sz w:val="22"/>
          <w:szCs w:val="22"/>
        </w:rPr>
        <w:t xml:space="preserve">Cálculo de interés con IVA</w:t>
      </w:r>
    </w:p>
    <w:p>
      <w:pPr>
        <w:pStyle w:val="ListParagraph"/>
        <w:numPr>
          <w:ilvl w:val="0"/>
          <w:numId w:val="2"/>
        </w:numPr>
        <w:spacing w:before="40" w:after="40"/>
      </w:pPr>
      <w:r>
        <w:rPr>
          <w:rFonts w:ascii="Arial" w:cs="Arial" w:eastAsia="Arial" w:hAnsi="Arial"/>
          <w:color w:val="2C2C2A"/>
          <w:sz w:val="22"/>
          <w:szCs w:val="22"/>
        </w:rPr>
        <w:t xml:space="preserve">Clasificación de ingresos y sistema de cubetas</w:t>
      </w:r>
    </w:p>
    <w:p>
      <w:pPr>
        <w:pStyle w:val="ListParagraph"/>
        <w:numPr>
          <w:ilvl w:val="0"/>
          <w:numId w:val="2"/>
        </w:numPr>
        <w:spacing w:before="40" w:after="40"/>
      </w:pPr>
      <w:r>
        <w:rPr>
          <w:rFonts w:ascii="Arial" w:cs="Arial" w:eastAsia="Arial" w:hAnsi="Arial"/>
          <w:color w:val="2C2C2A"/>
          <w:sz w:val="22"/>
          <w:szCs w:val="22"/>
        </w:rPr>
        <w:t xml:space="preserve">Proyección de deudas y detección de trampas</w:t>
      </w:r>
    </w:p>
    <w:p>
      <w:pPr>
        <w:pStyle w:val="ListParagraph"/>
        <w:numPr>
          <w:ilvl w:val="0"/>
          <w:numId w:val="2"/>
        </w:numPr>
        <w:spacing w:before="40" w:after="40"/>
      </w:pPr>
      <w:r>
        <w:rPr>
          <w:rFonts w:ascii="Arial" w:cs="Arial" w:eastAsia="Arial" w:hAnsi="Arial"/>
          <w:color w:val="2C2C2A"/>
          <w:sz w:val="22"/>
          <w:szCs w:val="22"/>
        </w:rPr>
        <w:t xml:space="preserve">Estrategias de pago (bola de nieve / avalancha)</w:t>
      </w:r>
    </w:p>
    <w:p>
      <w:pPr>
        <w:pStyle w:val="ListParagraph"/>
        <w:numPr>
          <w:ilvl w:val="0"/>
          <w:numId w:val="2"/>
        </w:numPr>
        <w:spacing w:before="40" w:after="40"/>
      </w:pPr>
      <w:r>
        <w:rPr>
          <w:rFonts w:ascii="Arial" w:cs="Arial" w:eastAsia="Arial" w:hAnsi="Arial"/>
          <w:color w:val="2C2C2A"/>
          <w:sz w:val="22"/>
          <w:szCs w:val="22"/>
        </w:rPr>
        <w:t xml:space="preserve">Comparador de estrategias con recomendación</w:t>
      </w:r>
    </w:p>
    <w:p>
      <w:pPr>
        <w:pStyle w:val="ListParagraph"/>
        <w:numPr>
          <w:ilvl w:val="0"/>
          <w:numId w:val="2"/>
        </w:numPr>
        <w:spacing w:before="40" w:after="40"/>
      </w:pPr>
      <w:r>
        <w:rPr>
          <w:rFonts w:ascii="Arial" w:cs="Arial" w:eastAsia="Arial" w:hAnsi="Arial"/>
          <w:color w:val="2C2C2A"/>
          <w:sz w:val="22"/>
          <w:szCs w:val="22"/>
        </w:rPr>
        <w:t xml:space="preserve">Generador de eventos de calendario</w:t>
      </w:r>
    </w:p>
    <w:p>
      <w:pPr>
        <w:pStyle w:val="Heading2"/>
        <w:spacing w:before="240" w:after="120"/>
      </w:pPr>
      <w:r>
        <w:rPr>
          <w:rFonts w:ascii="Arial" w:cs="Arial" w:eastAsia="Arial" w:hAnsi="Arial"/>
          <w:b/>
          <w:bCs/>
          <w:color w:val="1D4E8C"/>
          <w:sz w:val="26"/>
          <w:szCs w:val="26"/>
        </w:rPr>
        <w:t xml:space="preserve">Fase 2 — Persistencia</w:t>
      </w:r>
    </w:p>
    <w:p>
      <w:pPr>
        <w:pStyle w:val="ListParagraph"/>
        <w:numPr>
          <w:ilvl w:val="0"/>
          <w:numId w:val="2"/>
        </w:numPr>
        <w:spacing w:before="40" w:after="40"/>
      </w:pPr>
      <w:r>
        <w:rPr>
          <w:rFonts w:ascii="Arial" w:cs="Arial" w:eastAsia="Arial" w:hAnsi="Arial"/>
          <w:color w:val="2C2C2A"/>
          <w:sz w:val="22"/>
          <w:szCs w:val="22"/>
        </w:rPr>
        <w:t xml:space="preserve">Diseño del esquema SQLite (tablas: ingresos, deudas, cubetas, eventos, configuración)</w:t>
      </w:r>
    </w:p>
    <w:p>
      <w:pPr>
        <w:pStyle w:val="ListParagraph"/>
        <w:numPr>
          <w:ilvl w:val="0"/>
          <w:numId w:val="2"/>
        </w:numPr>
        <w:spacing w:before="40" w:after="40"/>
      </w:pPr>
      <w:r>
        <w:rPr>
          <w:rFonts w:ascii="Arial" w:cs="Arial" w:eastAsia="Arial" w:hAnsi="Arial"/>
          <w:color w:val="2C2C2A"/>
          <w:sz w:val="22"/>
          <w:szCs w:val="22"/>
        </w:rPr>
        <w:t xml:space="preserve">Capa de acceso a datos (DAL): funciones get/save/update que aíslan el SQL de la lógica</w:t>
      </w:r>
    </w:p>
    <w:p>
      <w:pPr>
        <w:pStyle w:val="ListParagraph"/>
        <w:numPr>
          <w:ilvl w:val="0"/>
          <w:numId w:val="2"/>
        </w:numPr>
        <w:spacing w:before="40" w:after="40"/>
      </w:pPr>
      <w:r>
        <w:rPr>
          <w:rFonts w:ascii="Arial" w:cs="Arial" w:eastAsia="Arial" w:hAnsi="Arial"/>
          <w:color w:val="2C2C2A"/>
          <w:sz w:val="22"/>
          <w:szCs w:val="22"/>
        </w:rPr>
        <w:t xml:space="preserve">Migraciones: sistema para evolucionar el esquema sin perder datos</w:t>
      </w:r>
    </w:p>
    <w:p>
      <w:pPr>
        <w:pStyle w:val="Heading2"/>
        <w:spacing w:before="240" w:after="120"/>
      </w:pPr>
      <w:r>
        <w:rPr>
          <w:rFonts w:ascii="Arial" w:cs="Arial" w:eastAsia="Arial" w:hAnsi="Arial"/>
          <w:b/>
          <w:bCs/>
          <w:color w:val="1D4E8C"/>
          <w:sz w:val="26"/>
          <w:szCs w:val="26"/>
        </w:rPr>
        <w:t xml:space="preserve">Fase 3 — Widget de escritorio</w:t>
      </w:r>
    </w:p>
    <w:p>
      <w:pPr>
        <w:pStyle w:val="ListParagraph"/>
        <w:numPr>
          <w:ilvl w:val="0"/>
          <w:numId w:val="2"/>
        </w:numPr>
        <w:spacing w:before="40" w:after="40"/>
      </w:pPr>
      <w:r>
        <w:rPr>
          <w:rFonts w:ascii="Arial" w:cs="Arial" w:eastAsia="Arial" w:hAnsi="Arial"/>
          <w:color w:val="2C2C2A"/>
          <w:sz w:val="22"/>
          <w:szCs w:val="22"/>
        </w:rPr>
        <w:t xml:space="preserve">Tauri (Rust + WebView) o Electron: evaluación final según RAM disponible</w:t>
      </w:r>
    </w:p>
    <w:p>
      <w:pPr>
        <w:pStyle w:val="ListParagraph"/>
        <w:numPr>
          <w:ilvl w:val="0"/>
          <w:numId w:val="2"/>
        </w:numPr>
        <w:spacing w:before="40" w:after="40"/>
      </w:pPr>
      <w:r>
        <w:rPr>
          <w:rFonts w:ascii="Arial" w:cs="Arial" w:eastAsia="Arial" w:hAnsi="Arial"/>
          <w:color w:val="2C2C2A"/>
          <w:sz w:val="22"/>
          <w:szCs w:val="22"/>
        </w:rPr>
        <w:t xml:space="preserve">Notificaciones del sistema operativo (Windows/macOS/Linux)</w:t>
      </w:r>
    </w:p>
    <w:p>
      <w:pPr>
        <w:pStyle w:val="ListParagraph"/>
        <w:numPr>
          <w:ilvl w:val="0"/>
          <w:numId w:val="2"/>
        </w:numPr>
        <w:spacing w:before="40" w:after="40"/>
      </w:pPr>
      <w:r>
        <w:rPr>
          <w:rFonts w:ascii="Arial" w:cs="Arial" w:eastAsia="Arial" w:hAnsi="Arial"/>
          <w:color w:val="2C2C2A"/>
          <w:sz w:val="22"/>
          <w:szCs w:val="22"/>
        </w:rPr>
        <w:t xml:space="preserve">Vista compacta: saldo disponible real + próximos pagos + alerta activa</w:t>
      </w:r>
    </w:p>
    <w:p>
      <w:pPr>
        <w:pStyle w:val="ListParagraph"/>
        <w:numPr>
          <w:ilvl w:val="0"/>
          <w:numId w:val="2"/>
        </w:numPr>
        <w:spacing w:before="40" w:after="40"/>
      </w:pPr>
      <w:r>
        <w:rPr>
          <w:rFonts w:ascii="Arial" w:cs="Arial" w:eastAsia="Arial" w:hAnsi="Arial"/>
          <w:color w:val="2C2C2A"/>
          <w:sz w:val="22"/>
          <w:szCs w:val="22"/>
        </w:rPr>
        <w:t xml:space="preserve">Acceso rápido a registro de ingreso/gasto</w:t>
      </w:r>
    </w:p>
    <w:p>
      <w:pPr>
        <w:pStyle w:val="Heading2"/>
        <w:spacing w:before="240" w:after="120"/>
      </w:pPr>
      <w:r>
        <w:rPr>
          <w:rFonts w:ascii="Arial" w:cs="Arial" w:eastAsia="Arial" w:hAnsi="Arial"/>
          <w:b/>
          <w:bCs/>
          <w:color w:val="1D4E8C"/>
          <w:sz w:val="26"/>
          <w:szCs w:val="26"/>
        </w:rPr>
        <w:t xml:space="preserve">Fase 4 — Dashboard web</w:t>
      </w:r>
    </w:p>
    <w:p>
      <w:pPr>
        <w:pStyle w:val="ListParagraph"/>
        <w:numPr>
          <w:ilvl w:val="0"/>
          <w:numId w:val="2"/>
        </w:numPr>
        <w:spacing w:before="40" w:after="40"/>
      </w:pPr>
      <w:r>
        <w:rPr>
          <w:rFonts w:ascii="Arial" w:cs="Arial" w:eastAsia="Arial" w:hAnsi="Arial"/>
          <w:color w:val="2C2C2A"/>
          <w:sz w:val="22"/>
          <w:szCs w:val="22"/>
        </w:rPr>
        <w:t xml:space="preserve">SvelteKit: visualizaciones de flujo, proyecciones, historial</w:t>
      </w:r>
    </w:p>
    <w:p>
      <w:pPr>
        <w:pStyle w:val="ListParagraph"/>
        <w:numPr>
          <w:ilvl w:val="0"/>
          <w:numId w:val="2"/>
        </w:numPr>
        <w:spacing w:before="40" w:after="40"/>
      </w:pPr>
      <w:r>
        <w:rPr>
          <w:rFonts w:ascii="Arial" w:cs="Arial" w:eastAsia="Arial" w:hAnsi="Arial"/>
          <w:color w:val="2C2C2A"/>
          <w:sz w:val="22"/>
          <w:szCs w:val="22"/>
        </w:rPr>
        <w:t xml:space="preserve">Calendario interactivo con todos los eventos del motor</w:t>
      </w:r>
    </w:p>
    <w:p>
      <w:pPr>
        <w:pStyle w:val="ListParagraph"/>
        <w:numPr>
          <w:ilvl w:val="0"/>
          <w:numId w:val="2"/>
        </w:numPr>
        <w:spacing w:before="40" w:after="40"/>
      </w:pPr>
      <w:r>
        <w:rPr>
          <w:rFonts w:ascii="Arial" w:cs="Arial" w:eastAsia="Arial" w:hAnsi="Arial"/>
          <w:color w:val="2C2C2A"/>
          <w:sz w:val="22"/>
          <w:szCs w:val="22"/>
        </w:rPr>
        <w:t xml:space="preserve">Simulador de escenarios: ¿qué pasa si pago $X más este mes?</w:t>
      </w:r>
    </w:p>
    <w:p>
      <w:pPr>
        <w:pStyle w:val="ListParagraph"/>
        <w:numPr>
          <w:ilvl w:val="0"/>
          <w:numId w:val="2"/>
        </w:numPr>
        <w:spacing w:before="40" w:after="40"/>
      </w:pPr>
      <w:r>
        <w:rPr>
          <w:rFonts w:ascii="Arial" w:cs="Arial" w:eastAsia="Arial" w:hAnsi="Arial"/>
          <w:color w:val="2C2C2A"/>
          <w:sz w:val="22"/>
          <w:szCs w:val="22"/>
        </w:rPr>
        <w:t xml:space="preserve">Reportes exportables</w:t>
      </w:r>
    </w:p>
    <w:p>
      <w:pPr>
        <w:pStyle w:val="Heading2"/>
        <w:spacing w:before="240" w:after="120"/>
      </w:pPr>
      <w:r>
        <w:rPr>
          <w:rFonts w:ascii="Arial" w:cs="Arial" w:eastAsia="Arial" w:hAnsi="Arial"/>
          <w:b/>
          <w:bCs/>
          <w:color w:val="1D4E8C"/>
          <w:sz w:val="26"/>
          <w:szCs w:val="26"/>
        </w:rPr>
        <w:t xml:space="preserve">Fase 5 — Motor de sugerencias</w:t>
      </w:r>
    </w:p>
    <w:p>
      <w:pPr>
        <w:pStyle w:val="ListParagraph"/>
        <w:numPr>
          <w:ilvl w:val="0"/>
          <w:numId w:val="2"/>
        </w:numPr>
        <w:spacing w:before="40" w:after="40"/>
      </w:pPr>
      <w:r>
        <w:rPr>
          <w:rFonts w:ascii="Arial" w:cs="Arial" w:eastAsia="Arial" w:hAnsi="Arial"/>
          <w:color w:val="2C2C2A"/>
          <w:sz w:val="22"/>
          <w:szCs w:val="22"/>
        </w:rPr>
        <w:t xml:space="preserve">Análisis pre-compra: ¿puedo comprar esto sin comprometer deudas/ahorro?</w:t>
      </w:r>
    </w:p>
    <w:p>
      <w:pPr>
        <w:pStyle w:val="ListParagraph"/>
        <w:numPr>
          <w:ilvl w:val="0"/>
          <w:numId w:val="2"/>
        </w:numPr>
        <w:spacing w:before="40" w:after="40"/>
      </w:pPr>
      <w:r>
        <w:rPr>
          <w:rFonts w:ascii="Arial" w:cs="Arial" w:eastAsia="Arial" w:hAnsi="Arial"/>
          <w:color w:val="2C2C2A"/>
          <w:sz w:val="22"/>
          <w:szCs w:val="22"/>
        </w:rPr>
        <w:t xml:space="preserve">Detección de patrones de gasto no conscientes</w:t>
      </w:r>
    </w:p>
    <w:p>
      <w:pPr>
        <w:pStyle w:val="ListParagraph"/>
        <w:numPr>
          <w:ilvl w:val="0"/>
          <w:numId w:val="2"/>
        </w:numPr>
        <w:spacing w:before="40" w:after="40"/>
      </w:pPr>
      <w:r>
        <w:rPr>
          <w:rFonts w:ascii="Arial" w:cs="Arial" w:eastAsia="Arial" w:hAnsi="Arial"/>
          <w:color w:val="2C2C2A"/>
          <w:sz w:val="22"/>
          <w:szCs w:val="22"/>
        </w:rPr>
        <w:t xml:space="preserve">Proyector de flujo con tres escenarios (pesimista/realista/optimista)</w:t>
      </w:r>
    </w:p>
    <w:p>
      <w:pPr>
        <w:pStyle w:val="ListParagraph"/>
        <w:numPr>
          <w:ilvl w:val="0"/>
          <w:numId w:val="2"/>
        </w:numPr>
        <w:spacing w:before="40" w:after="40"/>
      </w:pPr>
      <w:r>
        <w:rPr>
          <w:rFonts w:ascii="Arial" w:cs="Arial" w:eastAsia="Arial" w:hAnsi="Arial"/>
          <w:color w:val="2C2C2A"/>
          <w:sz w:val="22"/>
          <w:szCs w:val="22"/>
        </w:rPr>
        <w:t xml:space="preserve">Recomendaciones automáticas basadas en cambios en el perfil</w:t>
      </w:r>
    </w:p>
    <w:p>
      <w:pPr>
        <w:spacing w:before="0" w:after="0"/>
      </w:pPr>
      <w:r>
        <w:t xml:space="preserve"/>
      </w:r>
    </w:p>
    <w:p>
      <w:pPr>
        <w:pBdr>
          <w:top w:val="single" w:color="CCCCCC" w:sz="4" w:space="8"/>
        </w:pBdr>
        <w:spacing w:before="200" w:after="0"/>
      </w:pPr>
      <w:r>
        <w:rPr>
          <w:rFonts w:ascii="Arial" w:cs="Arial" w:eastAsia="Arial" w:hAnsi="Arial"/>
          <w:color w:val="888888"/>
          <w:sz w:val="18"/>
          <w:szCs w:val="18"/>
        </w:rPr>
        <w:t xml:space="preserve">Motor Financiero Personal v1.0 — Documentación técnica —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9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sz w:val="32"/>
      <w:szCs w:val="32"/>
    </w:rPr>
  </w:style>
  <w:style w:type="paragraph" w:styleId="Heading2">
    <w:name w:val="Heading 2"/>
    <w:basedOn w:val="Normal"/>
    <w:next w:val="Normal"/>
    <w:qFormat/>
    <w:pPr>
      <w:spacing w:before="240" w:after="120"/>
      <w:outlineLvl w:val="1"/>
    </w:pPr>
    <w:rPr>
      <w:rFonts w:ascii="Arial" w:cs="Arial" w:eastAsia="Arial" w:hAnsi="Arial"/>
      <w:b/>
      <w:bCs/>
      <w:sz w:val="26"/>
      <w:szCs w:val="26"/>
    </w:rPr>
  </w:style>
  <w:style w:type="paragraph" w:styleId="Heading3">
    <w:name w:val="Heading 3"/>
    <w:basedOn w:val="Normal"/>
    <w:next w:val="Normal"/>
    <w:qFormat/>
    <w:pPr>
      <w:spacing w:before="200" w:after="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2026-03-30T05:56:58.428Z</dcterms:created>
  <dcterms:modified xsi:type="dcterms:W3CDTF">2026-03-30T05:56:58.428Z</dcterms:modified>
</cp:coreProperties>
</file>

<file path=docProps/custom.xml><?xml version="1.0" encoding="utf-8"?>
<Properties xmlns="http://schemas.openxmlformats.org/officeDocument/2006/custom-properties" xmlns:vt="http://schemas.openxmlformats.org/officeDocument/2006/docPropsVTypes"/>
</file>