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80280c00d501b0eb5da078001eebcdd25964a1"/>
    <w:p>
      <w:pPr>
        <w:pStyle w:val="Heading1"/>
      </w:pPr>
      <w:r>
        <w:t xml:space="preserve">La entropía en gases ideales y reales: de Clausius a Planck</w:t>
      </w:r>
    </w:p>
    <w:p>
      <w:pPr>
        <w:pStyle w:val="FirstParagraph"/>
      </w:pPr>
      <w:r>
        <w:rPr>
          <w:b/>
          <w:bCs/>
        </w:rPr>
        <w:t xml:space="preserve">Módulo 1 — Termodinámica y Teoría Atómica Pre-Cuántica</w:t>
      </w:r>
      <w:r>
        <w:t xml:space="preserve"> </w:t>
      </w:r>
      <w:r>
        <w:rPr>
          <w:b/>
          <w:bCs/>
        </w:rPr>
        <w:t xml:space="preserve">Diplomado en Física Moderna: Termodinámica, Mecánica Cuántica y Relatividad</w:t>
      </w:r>
      <w:r>
        <w:t xml:space="preserve"> </w:t>
      </w:r>
      <w:r>
        <w:t xml:space="preserve">Docente: Prof. Julio Eduardo Oliva Zapata | Estudiante: [Nombre] | 25 septiembre 2026</w:t>
      </w:r>
    </w:p>
    <w:p>
      <w:r>
        <w:pict>
          <v:rect style="width:0;height:1.5pt" o:hralign="center" o:hrstd="t" o:hr="t"/>
        </w:pict>
      </w:r>
    </w:p>
    <w:bookmarkStart w:id="9" w:name="resumen"/>
    <w:p>
      <w:pPr>
        <w:pStyle w:val="Heading2"/>
      </w:pPr>
      <w:r>
        <w:t xml:space="preserve">Resumen</w:t>
      </w:r>
    </w:p>
    <w:p>
      <w:pPr>
        <w:pStyle w:val="FirstParagraph"/>
      </w:pPr>
      <w:r>
        <w:t xml:space="preserve">Este trabajo analiza cómo se define, calcula y modifica el concepto de entropía al pasar de un gas ideal a un gas real. Se parte de la definición termodinámica de Clausius (</w:t>
      </w:r>
      <m:oMath>
        <m:r>
          <m:t>d</m:t>
        </m:r>
        <m:r>
          <m:t>S</m:t>
        </m:r>
        <m:r>
          <m:rPr>
            <m:sty m:val="p"/>
          </m:rPr>
          <m:t>=</m:t>
        </m:r>
        <m:r>
          <m:t>δ</m:t>
        </m:r>
        <m:sSub>
          <m:e>
            <m:r>
              <m:t>Q</m:t>
            </m:r>
          </m:e>
          <m:sub>
            <m:r>
              <m:rPr>
                <m:nor/>
                <m:sty m:val="p"/>
              </m:rPr>
              <m:t>rev</m:t>
            </m:r>
          </m:sub>
        </m:sSub>
        <m:r>
          <m:rPr>
            <m:sty m:val="p"/>
          </m:rPr>
          <m:t>/</m:t>
        </m:r>
        <m:r>
          <m:t>T</m:t>
        </m:r>
      </m:oMath>
      <w:r>
        <w:t xml:space="preserve">), se calcula la entropía del gas ideal y se muestra que la expresión obtenida conduce a la paradoja de Gibbs. La resolución de esa paradoja exige la mecánica estadística de Boltzmann (</w:t>
      </w:r>
      <m:oMath>
        <m:r>
          <m:t>S</m:t>
        </m:r>
        <m:r>
          <m:rPr>
            <m:sty m:val="p"/>
          </m:rPr>
          <m:t>=</m:t>
        </m:r>
        <m:sSub>
          <m:e>
            <m:r>
              <m:t>k</m:t>
            </m:r>
          </m:e>
          <m:sub>
            <m:r>
              <m:t>B</m:t>
            </m:r>
          </m:sub>
        </m:sSub>
        <m:r>
          <m:rPr>
            <m:sty m:val="p"/>
          </m:rPr>
          <m:t>ln</m:t>
        </m:r>
        <m:r>
          <m:rPr>
            <m:sty m:val="p"/>
          </m:rPr>
          <m:t>Ω</m:t>
        </m:r>
      </m:oMath>
      <w:r>
        <w:t xml:space="preserve">) y la indistinguibilidad cuántica de las partículas, dando lugar a la fórmula de Sackur–Tetrode. Se compara este resultado con la entropía del gas de Van der Waals, que incorpora el volumen excluido y las interacciones moleculares. Finalmente, se muestra que la misma entropía de Boltzmann fue la herramienta con que Planck derivó la cuantización de la energía en 1900, conectando el Módulo 1 con el Módulo 2 del diplomado.</w:t>
      </w:r>
    </w:p>
    <w:p>
      <w:pPr>
        <w:pStyle w:val="BodyText"/>
      </w:pPr>
      <w:r>
        <w:rPr>
          <w:b/>
          <w:bCs/>
        </w:rPr>
        <w:t xml:space="preserve">Palabras clave:</w:t>
      </w:r>
      <w:r>
        <w:t xml:space="preserve"> </w:t>
      </w:r>
      <w:r>
        <w:t xml:space="preserve">entropía, segunda ley, gas ideal, Van der Waals, paradoja de Gibbs, Sackur–Tetrode, Planck.</w:t>
      </w:r>
    </w:p>
    <w:p>
      <w:r>
        <w:pict>
          <v:rect style="width:0;height:1.5pt" o:hralign="center" o:hrstd="t" o:hr="t"/>
        </w:pict>
      </w:r>
    </w:p>
    <w:bookmarkEnd w:id="9"/>
    <w:bookmarkStart w:id="10" w:name="introducción"/>
    <w:p>
      <w:pPr>
        <w:pStyle w:val="Heading2"/>
      </w:pPr>
      <w:r>
        <w:t xml:space="preserve">1. Introducción</w:t>
      </w:r>
    </w:p>
    <w:p>
      <w:pPr>
        <w:pStyle w:val="FirstParagraph"/>
      </w:pPr>
      <w:r>
        <w:t xml:space="preserve">La entropía es el concepto termodinámico más profundo y, durante más de un siglo, el menos comprendido. Clausius la creó en 1865 para capturar matemáticamente algo que era evidente pero difícil de formular: los procesos naturales tienen una dirección preferida. Boltzmann le dio un significado microscópico en 1877. Gibbs reveló una inconsistencia fundamental en su aplicación al gas ideal. Sackur y Tetrode la corrigieron en 1911–12 introduciendo, sin saberlo, la constante de Planck. Y Planck, en 1900, la usó como herramienta para resolver el problema del cuerpo negro y postular la cuantización de la energía.</w:t>
      </w:r>
    </w:p>
    <w:p>
      <w:pPr>
        <w:pStyle w:val="BodyText"/>
      </w:pPr>
      <w:r>
        <w:t xml:space="preserve">Este informe tiene tres objetivos: (1) derivar la entropía del gas ideal y la del gas de Van der Waals, (2) demostrar la paradoja de Gibbs y su resolución mediante la mecánica estadística, y (3) mostrar cómo ese mismo formalismo condujo a Planck a la física cuántica. La metodología es analítica: derivaciones desde primeros principios con apoyo en fuentes primarias.</w:t>
      </w:r>
    </w:p>
    <w:p>
      <w:pPr>
        <w:pStyle w:val="BodyText"/>
      </w:pPr>
      <w:r>
        <w:t xml:space="preserve">La clase elegida es la Clase 5 (segunda ley y entropía), complementada con contenido de la Clase 4 (gas de Van der Waals) dado que ambas comparten el hilo conductor de la entropía.</w:t>
      </w:r>
    </w:p>
    <w:p>
      <w:r>
        <w:pict>
          <v:rect style="width:0;height:1.5pt" o:hralign="center" o:hrstd="t" o:hr="t"/>
        </w:pict>
      </w:r>
    </w:p>
    <w:bookmarkEnd w:id="10"/>
    <w:bookmarkStart w:id="11" w:name="contexto-histórico"/>
    <w:p>
      <w:pPr>
        <w:pStyle w:val="Heading2"/>
      </w:pPr>
      <w:r>
        <w:t xml:space="preserve">2. Contexto histórico</w:t>
      </w:r>
    </w:p>
    <w:p>
      <w:pPr>
        <w:pStyle w:val="FirstParagraph"/>
      </w:pPr>
      <w:r>
        <w:t xml:space="preserve">El siglo XIX comenzó creyendo que el calor era un fluido —el</w:t>
      </w:r>
      <w:r>
        <w:t xml:space="preserve"> </w:t>
      </w:r>
      <w:r>
        <w:rPr>
          <w:i/>
          <w:iCs/>
        </w:rPr>
        <w:t xml:space="preserve">calórico</w:t>
      </w:r>
      <w:r>
        <w:t xml:space="preserve">— y terminó entendiendo que era energía en tránsito. Joule midió en 1843 el equivalente mecánico del calor:</w:t>
      </w:r>
      <w:r>
        <w:t xml:space="preserve"> </w:t>
      </w:r>
      <m:oMath>
        <m:r>
          <m:t>1</m:t>
        </m:r>
        <m:r>
          <m:t> </m:t>
        </m:r>
        <m:r>
          <m:rPr>
            <m:nor/>
            <m:sty m:val="p"/>
          </m:rPr>
          <m:t>cal</m:t>
        </m:r>
        <m:r>
          <m:rPr>
            <m:sty m:val="p"/>
          </m:rPr>
          <m:t>=</m:t>
        </m:r>
        <m:r>
          <m:t>4.186</m:t>
        </m:r>
        <m:r>
          <m:t> </m:t>
        </m:r>
        <m:r>
          <m:rPr>
            <m:nor/>
            <m:sty m:val="p"/>
          </m:rPr>
          <m:t>J</m:t>
        </m:r>
      </m:oMath>
      <w:r>
        <w:t xml:space="preserve">. Carnot (1824) había demostrado antes, sin saber esto, que la eficiencia de cualquier máquina térmica está limitada por las temperaturas entre las que opera:</w:t>
      </w:r>
      <w:r>
        <w:t xml:space="preserve"> </w:t>
      </w:r>
      <m:oMath>
        <m:r>
          <m:t>η</m:t>
        </m:r>
        <m:r>
          <m:rPr>
            <m:sty m:val="p"/>
          </m:rPr>
          <m:t>≤</m:t>
        </m:r>
        <m:r>
          <m:t>1</m:t>
        </m:r>
        <m:r>
          <m:rPr>
            <m:sty m:val="p"/>
          </m:rPr>
          <m:t>−</m:t>
        </m:r>
        <m:sSub>
          <m:e>
            <m:r>
              <m:t>T</m:t>
            </m:r>
          </m:e>
          <m:sub>
            <m:r>
              <m:t>C</m:t>
            </m:r>
          </m:sub>
        </m:sSub>
        <m:r>
          <m:rPr>
            <m:sty m:val="p"/>
          </m:rPr>
          <m:t>/</m:t>
        </m:r>
        <m:sSub>
          <m:e>
            <m:r>
              <m:t>T</m:t>
            </m:r>
          </m:e>
          <m:sub>
            <m:r>
              <m:t>H</m:t>
            </m:r>
          </m:sub>
        </m:sSub>
      </m:oMath>
      <w:r>
        <w:t xml:space="preserve">. Clausius (1850, 1865) formalizó ambas leyes, acuñó el término entropía y enunció el teorema del ciclo. Kelvin formuló una versión equivalente de la segunda ley. Boltzmann (1877) conectó la entropía con el número de microestados moleculares. Van der Waals (1873) mostró que las moléculas tienen volumen propio e interacciones, corrigiendo la ecuación de estado ideal. Gibbs (1876–78) sistematizó la termodinámica y señaló la paradoja que hoy lleva su nombre.</w:t>
      </w:r>
    </w:p>
    <w:p>
      <w:pPr>
        <w:pStyle w:val="BodyText"/>
      </w:pPr>
      <w:r>
        <w:t xml:space="preserve">Boltzmann murió en 1906, combatido por quienes negaban la existencia de los átomos. El experimento de Perrin en 1908 midió directamente el número de Avogadro y vindicó su obra.</w:t>
      </w:r>
    </w:p>
    <w:p>
      <w:r>
        <w:pict>
          <v:rect style="width:0;height:1.5pt" o:hralign="center" o:hrstd="t" o:hr="t"/>
        </w:pict>
      </w:r>
    </w:p>
    <w:bookmarkEnd w:id="11"/>
    <w:bookmarkStart w:id="18" w:name="desarrollo"/>
    <w:p>
      <w:pPr>
        <w:pStyle w:val="Heading2"/>
      </w:pPr>
      <w:r>
        <w:t xml:space="preserve">3. Desarrollo</w:t>
      </w:r>
    </w:p>
    <w:bookmarkStart w:id="12" w:name="la-segunda-ley-y-la-entropía-de-clausius"/>
    <w:p>
      <w:pPr>
        <w:pStyle w:val="Heading3"/>
      </w:pPr>
      <w:r>
        <w:t xml:space="preserve">3.1 La segunda ley y la entropía de Clausius</w:t>
      </w:r>
    </w:p>
    <w:p>
      <w:pPr>
        <w:pStyle w:val="FirstParagraph"/>
      </w:pPr>
      <w:r>
        <w:t xml:space="preserve">La segunda ley establece que los procesos espontáneos tienen dirección. Clausius la capturó con el</w:t>
      </w:r>
      <w:r>
        <w:t xml:space="preserve"> </w:t>
      </w:r>
      <w:r>
        <w:rPr>
          <w:b/>
          <w:bCs/>
        </w:rPr>
        <w:t xml:space="preserve">teorema del ciclo</w:t>
      </w:r>
      <w:r>
        <w:t xml:space="preserve">:</w:t>
      </w:r>
    </w:p>
    <w:p>
      <w:pPr>
        <w:pStyle w:val="BodyText"/>
      </w:pPr>
      <m:oMathPara>
        <m:oMathParaPr>
          <m:jc m:val="center"/>
        </m:oMathParaPr>
        <m:oMath>
          <m:r>
            <m:rPr>
              <m:sty m:val="p"/>
            </m:rPr>
            <m:t>∮</m:t>
          </m:r>
          <m:f>
            <m:fPr>
              <m:type m:val="bar"/>
            </m:fPr>
            <m:num>
              <m:r>
                <m:t>δ</m:t>
              </m:r>
              <m:r>
                <m:t>Q</m:t>
              </m:r>
            </m:num>
            <m:den>
              <m:r>
                <m:t>T</m:t>
              </m:r>
            </m:den>
          </m:f>
          <m:r>
            <m:rPr>
              <m:sty m:val="p"/>
            </m:rPr>
            <m:t>≤</m:t>
          </m:r>
          <m:r>
            <m:t>0</m:t>
          </m:r>
        </m:oMath>
      </m:oMathPara>
    </w:p>
    <w:p>
      <w:pPr>
        <w:pStyle w:val="FirstParagraph"/>
      </w:pPr>
      <w:r>
        <w:t xml:space="preserve">con igualdad para procesos reversibles. La consecuencia directa es que</w:t>
      </w:r>
      <w:r>
        <w:t xml:space="preserve"> </w:t>
      </w:r>
      <m:oMath>
        <m:r>
          <m:t>δ</m:t>
        </m:r>
        <m:sSub>
          <m:e>
            <m:r>
              <m:t>Q</m:t>
            </m:r>
          </m:e>
          <m:sub>
            <m:r>
              <m:rPr>
                <m:nor/>
                <m:sty m:val="p"/>
              </m:rPr>
              <m:t>rev</m:t>
            </m:r>
          </m:sub>
        </m:sSub>
        <m:r>
          <m:rPr>
            <m:sty m:val="p"/>
          </m:rPr>
          <m:t>/</m:t>
        </m:r>
        <m:r>
          <m:t>T</m:t>
        </m:r>
      </m:oMath>
      <w:r>
        <w:t xml:space="preserve"> </w:t>
      </w:r>
      <w:r>
        <w:t xml:space="preserve">es un diferencial exacto: existe una función de estado</w:t>
      </w:r>
      <w:r>
        <w:t xml:space="preserve"> </w:t>
      </w:r>
      <m:oMath>
        <m:r>
          <m:t>S</m:t>
        </m:r>
      </m:oMath>
      <w:r>
        <w:t xml:space="preserve"> </w:t>
      </w:r>
      <w:r>
        <w:t xml:space="preserve">tal que:</w:t>
      </w:r>
    </w:p>
    <w:p>
      <w:pPr>
        <w:pStyle w:val="BodyText"/>
      </w:pPr>
      <m:oMathPara>
        <m:oMathParaPr>
          <m:jc m:val="center"/>
        </m:oMathParaPr>
        <m:oMath>
          <m:r>
            <m:t>d</m:t>
          </m:r>
          <m:r>
            <m:t>S</m:t>
          </m:r>
          <m:r>
            <m:rPr>
              <m:sty m:val="p"/>
            </m:rPr>
            <m:t>=</m:t>
          </m:r>
          <m:f>
            <m:fPr>
              <m:type m:val="bar"/>
            </m:fPr>
            <m:num>
              <m:r>
                <m:t>δ</m:t>
              </m:r>
              <m:sSub>
                <m:e>
                  <m:r>
                    <m:t>Q</m:t>
                  </m:r>
                </m:e>
                <m:sub>
                  <m:r>
                    <m:rPr>
                      <m:nor/>
                      <m:sty m:val="p"/>
                    </m:rPr>
                    <m:t>rev</m:t>
                  </m:r>
                </m:sub>
              </m:sSub>
            </m:num>
            <m:den>
              <m:r>
                <m:t>T</m:t>
              </m:r>
            </m:den>
          </m:f>
          <m:r>
            <m:rPr>
              <m:sty m:val="p"/>
            </m:rPr>
            <m:t>.</m:t>
          </m:r>
        </m:oMath>
      </m:oMathPara>
    </w:p>
    <w:p>
      <w:pPr>
        <w:pStyle w:val="FirstParagraph"/>
      </w:pPr>
      <w:r>
        <w:t xml:space="preserve">Combinada con la primera ley (</w:t>
      </w:r>
      <m:oMath>
        <m:r>
          <m:t>d</m:t>
        </m:r>
        <m:r>
          <m:t>U</m:t>
        </m:r>
        <m:r>
          <m:rPr>
            <m:sty m:val="p"/>
          </m:rPr>
          <m:t>=</m:t>
        </m:r>
        <m:r>
          <m:t>δ</m:t>
        </m:r>
        <m:r>
          <m:t>Q</m:t>
        </m:r>
        <m:r>
          <m:rPr>
            <m:sty m:val="p"/>
          </m:rPr>
          <m:t>−</m:t>
        </m:r>
        <m:r>
          <m:t>P</m:t>
        </m:r>
        <m:r>
          <m:t> </m:t>
        </m:r>
        <m:r>
          <m:t>d</m:t>
        </m:r>
        <m:r>
          <m:t>V</m:t>
        </m:r>
      </m:oMath>
      <w:r>
        <w:t xml:space="preserve">), produce la</w:t>
      </w:r>
      <w:r>
        <w:t xml:space="preserve"> </w:t>
      </w:r>
      <w:r>
        <w:rPr>
          <w:b/>
          <w:bCs/>
        </w:rPr>
        <w:t xml:space="preserve">relación fundamental</w:t>
      </w:r>
      <w:r>
        <w:t xml:space="preserve">:</w:t>
      </w:r>
    </w:p>
    <w:p>
      <w:pPr>
        <w:pStyle w:val="BodyText"/>
      </w:pPr>
      <m:oMathPara>
        <m:oMathParaPr>
          <m:jc m:val="center"/>
        </m:oMathParaPr>
        <m:oMath>
          <m:r>
            <m:t>d</m:t>
          </m:r>
          <m:r>
            <m:t>U</m:t>
          </m:r>
          <m:r>
            <m:rPr>
              <m:sty m:val="p"/>
            </m:rPr>
            <m:t>=</m:t>
          </m:r>
          <m:r>
            <m:t>T</m:t>
          </m:r>
          <m:r>
            <m:t> </m:t>
          </m:r>
          <m:r>
            <m:t>d</m:t>
          </m:r>
          <m:r>
            <m:t>S</m:t>
          </m:r>
          <m:r>
            <m:rPr>
              <m:sty m:val="p"/>
            </m:rPr>
            <m:t>−</m:t>
          </m:r>
          <m:r>
            <m:t>P</m:t>
          </m:r>
          <m:r>
            <m:t> </m:t>
          </m:r>
          <m:r>
            <m:t>d</m:t>
          </m:r>
          <m:r>
            <m:t>V</m:t>
          </m:r>
          <m:r>
            <m:rPr>
              <m:sty m:val="p"/>
            </m:rPr>
            <m:t>.</m:t>
          </m:r>
        </m:oMath>
      </m:oMathPara>
    </w:p>
    <w:p>
      <w:pPr>
        <w:pStyle w:val="FirstParagraph"/>
      </w:pPr>
      <w:r>
        <w:t xml:space="preserve">Para sistemas aislados, la segunda ley se reduce a</w:t>
      </w:r>
      <w:r>
        <w:t xml:space="preserve"> </w:t>
      </w:r>
      <m:oMath>
        <m:r>
          <m:t>d</m:t>
        </m:r>
        <m:r>
          <m:t>S</m:t>
        </m:r>
        <m:r>
          <m:rPr>
            <m:sty m:val="p"/>
          </m:rPr>
          <m:t>≥</m:t>
        </m:r>
        <m:r>
          <m:t>0</m:t>
        </m:r>
      </m:oMath>
      <w:r>
        <w:t xml:space="preserve">: la entropía nunca decrece.</w:t>
      </w:r>
    </w:p>
    <w:bookmarkEnd w:id="12"/>
    <w:bookmarkStart w:id="13" w:name="entropía-del-gas-ideal"/>
    <w:p>
      <w:pPr>
        <w:pStyle w:val="Heading3"/>
      </w:pPr>
      <w:r>
        <w:t xml:space="preserve">3.2 Entropía del gas ideal</w:t>
      </w:r>
    </w:p>
    <w:p>
      <w:pPr>
        <w:pStyle w:val="FirstParagraph"/>
      </w:pPr>
      <w:r>
        <w:t xml:space="preserve">Para el gas monoatómico ideal, el teorema de equipartición da</w:t>
      </w:r>
      <w:r>
        <w:t xml:space="preserve"> </w:t>
      </w:r>
      <m:oMath>
        <m:r>
          <m:t>U</m:t>
        </m:r>
        <m:r>
          <m:rPr>
            <m:sty m:val="p"/>
          </m:rPr>
          <m:t>=</m:t>
        </m:r>
        <m:f>
          <m:fPr>
            <m:type m:val="bar"/>
          </m:fPr>
          <m:num>
            <m:r>
              <m:t>3</m:t>
            </m:r>
          </m:num>
          <m:den>
            <m:r>
              <m:t>2</m:t>
            </m:r>
          </m:den>
        </m:f>
        <m:r>
          <m:t>N</m:t>
        </m:r>
        <m:sSub>
          <m:e>
            <m:r>
              <m:t>k</m:t>
            </m:r>
          </m:e>
          <m:sub>
            <m:r>
              <m:t>B</m:t>
            </m:r>
          </m:sub>
        </m:sSub>
        <m:r>
          <m:t>T</m:t>
        </m:r>
      </m:oMath>
      <w:r>
        <w:t xml:space="preserve">, de modo que</w:t>
      </w:r>
      <w:r>
        <w:t xml:space="preserve"> </w:t>
      </w:r>
      <m:oMath>
        <m:r>
          <m:t>d</m:t>
        </m:r>
        <m:r>
          <m:t>U</m:t>
        </m:r>
        <m:r>
          <m:rPr>
            <m:sty m:val="p"/>
          </m:rPr>
          <m:t>=</m:t>
        </m:r>
        <m:f>
          <m:fPr>
            <m:type m:val="bar"/>
          </m:fPr>
          <m:num>
            <m:r>
              <m:t>3</m:t>
            </m:r>
          </m:num>
          <m:den>
            <m:r>
              <m:t>2</m:t>
            </m:r>
          </m:den>
        </m:f>
        <m:r>
          <m:t>N</m:t>
        </m:r>
        <m:sSub>
          <m:e>
            <m:r>
              <m:t>k</m:t>
            </m:r>
          </m:e>
          <m:sub>
            <m:r>
              <m:t>B</m:t>
            </m:r>
          </m:sub>
        </m:sSub>
        <m:r>
          <m:t> </m:t>
        </m:r>
        <m:r>
          <m:t>d</m:t>
        </m:r>
        <m:r>
          <m:t>T</m:t>
        </m:r>
      </m:oMath>
      <w:r>
        <w:t xml:space="preserve">. Con</w:t>
      </w:r>
      <w:r>
        <w:t xml:space="preserve"> </w:t>
      </w:r>
      <m:oMath>
        <m:r>
          <m:t>P</m:t>
        </m:r>
        <m:r>
          <m:rPr>
            <m:sty m:val="p"/>
          </m:rPr>
          <m:t>=</m:t>
        </m:r>
        <m:r>
          <m:t>N</m:t>
        </m:r>
        <m:sSub>
          <m:e>
            <m:r>
              <m:t>k</m:t>
            </m:r>
          </m:e>
          <m:sub>
            <m:r>
              <m:t>B</m:t>
            </m:r>
          </m:sub>
        </m:sSub>
        <m:r>
          <m:t>T</m:t>
        </m:r>
        <m:r>
          <m:rPr>
            <m:sty m:val="p"/>
          </m:rPr>
          <m:t>/</m:t>
        </m:r>
        <m:r>
          <m:t>V</m:t>
        </m:r>
      </m:oMath>
      <w:r>
        <w:t xml:space="preserv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r>
            <m:t>N</m:t>
          </m:r>
          <m:sSub>
            <m:e>
              <m:r>
                <m:t>k</m:t>
              </m:r>
            </m:e>
            <m:sub>
              <m:r>
                <m:t>B</m:t>
              </m:r>
            </m:sub>
          </m:sSub>
          <m:f>
            <m:fPr>
              <m:type m:val="bar"/>
            </m:fPr>
            <m:num>
              <m:r>
                <m:t>d</m:t>
              </m:r>
              <m:r>
                <m:t>V</m:t>
              </m:r>
            </m:num>
            <m:den>
              <m:r>
                <m:t>V</m:t>
              </m:r>
            </m:den>
          </m:f>
          <m:r>
            <m:rPr>
              <m:sty m:val="p"/>
            </m:rPr>
            <m:t>.</m:t>
          </m:r>
        </m:oMath>
      </m:oMathPara>
    </w:p>
    <w:p>
      <w:pPr>
        <w:pStyle w:val="FirstParagraph"/>
      </w:pPr>
      <w:r>
        <w:t xml:space="preserve">Integrando:</w:t>
      </w:r>
    </w:p>
    <w:p>
      <w:pPr>
        <w:pStyle w:val="BodyText"/>
      </w:pPr>
      <m:oMathPara>
        <m:oMathParaPr>
          <m:jc m:val="center"/>
        </m:oMathParaPr>
        <m:oMath>
          <m:sSub>
            <m:e>
              <m:r>
                <m:t>S</m:t>
              </m:r>
            </m:e>
            <m:sub>
              <m:r>
                <m:rPr>
                  <m:nor/>
                  <m:sty m:val="p"/>
                </m:rPr>
                <m:t>ideal</m:t>
              </m:r>
            </m:sub>
          </m:sSub>
          <m:r>
            <m:rPr>
              <m:sty m:val="p"/>
            </m:rPr>
            <m:t>(</m:t>
          </m:r>
          <m:r>
            <m:t>T</m:t>
          </m:r>
          <m:r>
            <m:rPr>
              <m:sty m:val="p"/>
            </m:rPr>
            <m:t>,</m:t>
          </m:r>
          <m:r>
            <m:t>V</m:t>
          </m:r>
          <m:r>
            <m:rPr>
              <m:sty m:val="p"/>
            </m:rPr>
            <m:t>,</m:t>
          </m:r>
          <m:r>
            <m:t>N</m:t>
          </m:r>
          <m:r>
            <m:rPr>
              <m:sty m:val="p"/>
            </m:rPr>
            <m:t>)</m:t>
          </m:r>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r>
            <m:rPr>
              <m:sty m:val="p"/>
            </m:rPr>
            <m:t>+</m:t>
          </m:r>
          <m:r>
            <m:t>C</m:t>
          </m:r>
          <m:r>
            <m:rPr>
              <m:sty m:val="p"/>
            </m:rPr>
            <m:t>(</m:t>
          </m:r>
          <m:r>
            <m:t>N</m:t>
          </m:r>
          <m:r>
            <m:rPr>
              <m:sty m:val="p"/>
            </m:rPr>
            <m:t>)</m:t>
          </m:r>
          <m:r>
            <m:rPr>
              <m:sty m:val="p"/>
            </m:rPr>
            <m:t>,</m:t>
          </m:r>
        </m:oMath>
      </m:oMathPara>
    </w:p>
    <w:p>
      <w:pPr>
        <w:pStyle w:val="FirstParagraph"/>
      </w:pPr>
      <w:r>
        <w:t xml:space="preserve">donde</w:t>
      </w:r>
      <w:r>
        <w:t xml:space="preserve"> </w:t>
      </w:r>
      <m:oMath>
        <m:r>
          <m:t>C</m:t>
        </m:r>
        <m:r>
          <m:rPr>
            <m:sty m:val="p"/>
          </m:rPr>
          <m:t>(</m:t>
        </m:r>
        <m:r>
          <m:t>N</m:t>
        </m:r>
        <m:r>
          <m:rPr>
            <m:sty m:val="p"/>
          </m:rPr>
          <m:t>)</m:t>
        </m:r>
      </m:oMath>
      <w:r>
        <w:t xml:space="preserve"> </w:t>
      </w:r>
      <w:r>
        <w:t xml:space="preserve">es una constante de integración que la termodinámica no puede determinar.</w:t>
      </w:r>
    </w:p>
    <w:p>
      <w:pPr>
        <w:pStyle w:val="BodyText"/>
      </w:pPr>
      <w:r>
        <w:rPr>
          <w:b/>
          <w:bCs/>
        </w:rPr>
        <w:t xml:space="preserve">Ejercicio:</w:t>
      </w:r>
      <w:r>
        <w:t xml:space="preserve"> </w:t>
      </w:r>
      <w:r>
        <w:t xml:space="preserve">Verificar que para un proceso adiabático reversible (</w:t>
      </w:r>
      <m:oMath>
        <m:r>
          <m:t>d</m:t>
        </m:r>
        <m:r>
          <m:t>S</m:t>
        </m:r>
        <m:r>
          <m:rPr>
            <m:sty m:val="p"/>
          </m:rPr>
          <m:t>=</m:t>
        </m:r>
        <m:r>
          <m:t>0</m:t>
        </m:r>
      </m:oMath>
      <w:r>
        <w:t xml:space="preserve">) esta expresión conduce a</w:t>
      </w:r>
      <w:r>
        <w:t xml:space="preserve"> </w:t>
      </w:r>
      <m:oMath>
        <m:r>
          <m:t>T</m:t>
        </m:r>
        <m:sSup>
          <m:e>
            <m:r>
              <m:t>V</m:t>
            </m:r>
          </m:e>
          <m:sup>
            <m:r>
              <m:t>2</m:t>
            </m:r>
            <m:r>
              <m:rPr>
                <m:sty m:val="p"/>
              </m:rPr>
              <m:t>/</m:t>
            </m:r>
            <m:r>
              <m:t>3</m:t>
            </m:r>
          </m:sup>
        </m:sSup>
        <m:r>
          <m:rPr>
            <m:sty m:val="p"/>
          </m:rPr>
          <m:t>=</m:t>
        </m:r>
        <m:r>
          <m:rPr>
            <m:nor/>
            <m:sty m:val="p"/>
          </m:rPr>
          <m:t>cte</m:t>
        </m:r>
      </m:oMath>
      <w:r>
        <w:t xml:space="preserve"> </w:t>
      </w:r>
      <w:r>
        <w:t xml:space="preserve">y, usando</w:t>
      </w:r>
      <w:r>
        <w:t xml:space="preserve"> </w:t>
      </w:r>
      <m:oMath>
        <m:r>
          <m:t>P</m:t>
        </m:r>
        <m:r>
          <m:t>V</m:t>
        </m:r>
        <m:r>
          <m:rPr>
            <m:sty m:val="p"/>
          </m:rPr>
          <m:t>=</m:t>
        </m:r>
        <m:r>
          <m:t>N</m:t>
        </m:r>
        <m:sSub>
          <m:e>
            <m:r>
              <m:t>k</m:t>
            </m:r>
          </m:e>
          <m:sub>
            <m:r>
              <m:t>B</m:t>
            </m:r>
          </m:sub>
        </m:sSub>
        <m:r>
          <m:t>T</m:t>
        </m:r>
      </m:oMath>
      <w:r>
        <w:t xml:space="preserve">, a la ley de Poisson</w:t>
      </w:r>
      <w:r>
        <w:t xml:space="preserve"> </w:t>
      </w:r>
      <m:oMath>
        <m:r>
          <m:t>P</m:t>
        </m:r>
        <m:sSup>
          <m:e>
            <m:r>
              <m:t>V</m:t>
            </m:r>
          </m:e>
          <m:sup>
            <m:r>
              <m:t>5</m:t>
            </m:r>
            <m:r>
              <m:rPr>
                <m:sty m:val="p"/>
              </m:rPr>
              <m:t>/</m:t>
            </m:r>
            <m:r>
              <m:t>3</m:t>
            </m:r>
          </m:sup>
        </m:sSup>
        <m:r>
          <m:rPr>
            <m:sty m:val="p"/>
          </m:rPr>
          <m:t>=</m:t>
        </m:r>
        <m:r>
          <m:rPr>
            <m:nor/>
            <m:sty m:val="p"/>
          </m:rPr>
          <m:t>cte</m:t>
        </m:r>
      </m:oMath>
      <w:r>
        <w:t xml:space="preserve">.</w:t>
      </w:r>
    </w:p>
    <w:bookmarkEnd w:id="13"/>
    <w:bookmarkStart w:id="14" w:name="la-paradoja-de-gibbs"/>
    <w:p>
      <w:pPr>
        <w:pStyle w:val="Heading3"/>
      </w:pPr>
      <w:r>
        <w:t xml:space="preserve">3.3 La paradoja de Gibbs</w:t>
      </w:r>
    </w:p>
    <w:p>
      <w:pPr>
        <w:pStyle w:val="FirstParagraph"/>
      </w:pPr>
      <w:r>
        <w:t xml:space="preserve">Consideremos dos recipientes idénticos: mismo gas ideal,</w:t>
      </w:r>
      <w:r>
        <w:t xml:space="preserve"> </w:t>
      </w:r>
      <m:oMath>
        <m:r>
          <m:t>N</m:t>
        </m:r>
      </m:oMath>
      <w:r>
        <w:t xml:space="preserve"> </w:t>
      </w:r>
      <w:r>
        <w:t xml:space="preserve">partículas, temperatura</w:t>
      </w:r>
      <w:r>
        <w:t xml:space="preserve"> </w:t>
      </w:r>
      <m:oMath>
        <m:r>
          <m:t>T</m:t>
        </m:r>
      </m:oMath>
      <w:r>
        <w:t xml:space="preserve">, volumen</w:t>
      </w:r>
      <w:r>
        <w:t xml:space="preserve"> </w:t>
      </w:r>
      <m:oMath>
        <m:r>
          <m:t>V</m:t>
        </m:r>
      </m:oMath>
      <w:r>
        <w:t xml:space="preserve">. Entropía inicial:</w:t>
      </w:r>
    </w:p>
    <w:p>
      <w:pPr>
        <w:pStyle w:val="BodyText"/>
      </w:pPr>
      <m:oMathPara>
        <m:oMathParaPr>
          <m:jc m:val="center"/>
        </m:oMathParaPr>
        <m:oMath>
          <m:sSub>
            <m:e>
              <m:r>
                <m:t>S</m:t>
              </m:r>
            </m:e>
            <m:sub>
              <m:r>
                <m:t>i</m:t>
              </m:r>
            </m:sub>
          </m:sSub>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r>
            <m:t>V</m:t>
          </m:r>
          <m:r>
            <m:rPr>
              <m:sty m:val="p"/>
            </m:rPr>
            <m:t>.</m:t>
          </m:r>
        </m:oMath>
      </m:oMathPara>
    </w:p>
    <w:p>
      <w:pPr>
        <w:pStyle w:val="FirstParagraph"/>
      </w:pPr>
      <w:r>
        <w:t xml:space="preserve">Retiramos la pared. El sistema final tiene</w:t>
      </w:r>
      <w:r>
        <w:t xml:space="preserve"> </w:t>
      </w:r>
      <m:oMath>
        <m:r>
          <m:t>2</m:t>
        </m:r>
        <m:r>
          <m:t>N</m:t>
        </m:r>
      </m:oMath>
      <w:r>
        <w:t xml:space="preserve"> </w:t>
      </w:r>
      <w:r>
        <w:t xml:space="preserve">partículas, volumen</w:t>
      </w:r>
      <w:r>
        <w:t xml:space="preserve"> </w:t>
      </w:r>
      <m:oMath>
        <m:r>
          <m:t>2</m:t>
        </m:r>
        <m:r>
          <m:t>V</m:t>
        </m:r>
      </m:oMath>
      <w:r>
        <w:t xml:space="preserve">, temperatura</w:t>
      </w:r>
      <w:r>
        <w:t xml:space="preserve"> </w:t>
      </w:r>
      <m:oMath>
        <m:r>
          <m:t>T</m:t>
        </m:r>
      </m:oMath>
      <w:r>
        <w:t xml:space="preserve"> </w:t>
      </w:r>
      <w:r>
        <w:t xml:space="preserve">(no hubo transferencia de energía). Entropía final:</w:t>
      </w:r>
    </w:p>
    <w:p>
      <w:pPr>
        <w:pStyle w:val="BodyText"/>
      </w:pPr>
      <m:oMathPara>
        <m:oMathParaPr>
          <m:jc m:val="center"/>
        </m:oMathParaPr>
        <m:oMath>
          <m:sSub>
            <m:e>
              <m:r>
                <m:t>S</m:t>
              </m:r>
            </m:e>
            <m:sub>
              <m:r>
                <m:t>f</m:t>
              </m:r>
            </m:sub>
          </m:sSub>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r>
            <m:rPr>
              <m:sty m:val="p"/>
            </m:rPr>
            <m:t>(</m:t>
          </m:r>
          <m:r>
            <m:t>2</m:t>
          </m:r>
          <m:r>
            <m:t>V</m:t>
          </m:r>
          <m:r>
            <m:rPr>
              <m:sty m:val="p"/>
            </m:rPr>
            <m:t>)</m:t>
          </m:r>
          <m:r>
            <m:rPr>
              <m:sty m:val="p"/>
            </m:rPr>
            <m:t>.</m:t>
          </m:r>
        </m:oMath>
      </m:oMathPara>
    </w:p>
    <w:p>
      <w:pPr>
        <w:pStyle w:val="FirstParagraph"/>
      </w:pPr>
      <w:r>
        <w:t xml:space="preserve">La diferencia es:</w:t>
      </w:r>
    </w:p>
    <w:p>
      <w:pPr>
        <w:pStyle w:val="BodyText"/>
      </w:pPr>
      <m:oMathPara>
        <m:oMathParaPr>
          <m:jc m:val="center"/>
        </m:oMathParaPr>
        <m:oMath>
          <m:r>
            <m:rPr>
              <m:sty m:val="p"/>
            </m:rPr>
            <m:t>Δ</m:t>
          </m:r>
          <m:r>
            <m:t>S</m:t>
          </m:r>
          <m:r>
            <m:rPr>
              <m:sty m:val="p"/>
            </m:rPr>
            <m:t>=</m:t>
          </m:r>
          <m:r>
            <m:t>2</m:t>
          </m:r>
          <m:r>
            <m:t>N</m:t>
          </m:r>
          <m:sSub>
            <m:e>
              <m:r>
                <m:t>k</m:t>
              </m:r>
            </m:e>
            <m:sub>
              <m:r>
                <m:t>B</m:t>
              </m:r>
            </m:sub>
          </m:sSub>
          <m:r>
            <m:rPr>
              <m:sty m:val="p"/>
            </m:rPr>
            <m:t>ln</m:t>
          </m:r>
          <m:r>
            <m:t>2</m:t>
          </m:r>
          <m:r>
            <m:rPr>
              <m:sty m:val="p"/>
            </m:rPr>
            <m:t>&gt;</m:t>
          </m:r>
          <m:r>
            <m:t>0</m:t>
          </m:r>
          <m:r>
            <m:rPr>
              <m:sty m:val="p"/>
            </m:rPr>
            <m:t>.</m:t>
          </m:r>
        </m:oMath>
      </m:oMathPara>
    </w:p>
    <w:p>
      <w:pPr>
        <w:pStyle w:val="FirstParagraph"/>
      </w:pPr>
      <w:r>
        <w:t xml:space="preserve">Esto contradice la experiencia: no ocurrió nada físico observable. La raíz del problema es que</w:t>
      </w:r>
      <w:r>
        <w:t xml:space="preserve"> </w:t>
      </w:r>
      <m:oMath>
        <m:r>
          <m:t>S</m:t>
        </m:r>
        <m:r>
          <m:rPr>
            <m:sty m:val="p"/>
          </m:rPr>
          <m:t>∝</m:t>
        </m:r>
        <m:r>
          <m:t>N</m:t>
        </m:r>
        <m:sSub>
          <m:e>
            <m:r>
              <m:t>k</m:t>
            </m:r>
          </m:e>
          <m:sub>
            <m:r>
              <m:t>B</m:t>
            </m:r>
          </m:sub>
        </m:sSub>
        <m:r>
          <m:rPr>
            <m:sty m:val="p"/>
          </m:rPr>
          <m:t>ln</m:t>
        </m:r>
        <m:r>
          <m:t>V</m:t>
        </m:r>
      </m:oMath>
      <w:r>
        <w:t xml:space="preserve"> </w:t>
      </w:r>
      <w:r>
        <w:t xml:space="preserve">no es extensiva.</w:t>
      </w:r>
    </w:p>
    <w:bookmarkEnd w:id="14"/>
    <w:bookmarkStart w:id="15" w:name="X2c9942851e068766c503997203ad3892e899580"/>
    <w:p>
      <w:pPr>
        <w:pStyle w:val="Heading3"/>
      </w:pPr>
      <w:r>
        <w:t xml:space="preserve">3.4 Resolución: Sackur–Tetrode y la indistinguibilidad</w:t>
      </w:r>
    </w:p>
    <w:p>
      <w:pPr>
        <w:pStyle w:val="FirstParagraph"/>
      </w:pPr>
      <w:r>
        <w:t xml:space="preserve">La mecánica estadística define</w:t>
      </w:r>
      <w:r>
        <w:t xml:space="preserve"> </w:t>
      </w:r>
      <m:oMath>
        <m:r>
          <m:t>S</m:t>
        </m:r>
        <m:r>
          <m:rPr>
            <m:sty m:val="p"/>
          </m:rPr>
          <m:t>=</m:t>
        </m:r>
        <m:sSub>
          <m:e>
            <m:r>
              <m:t>k</m:t>
            </m:r>
          </m:e>
          <m:sub>
            <m:r>
              <m:t>B</m:t>
            </m:r>
          </m:sub>
        </m:sSub>
        <m:r>
          <m:rPr>
            <m:sty m:val="p"/>
          </m:rPr>
          <m:t>ln</m:t>
        </m:r>
        <m:r>
          <m:rPr>
            <m:sty m:val="p"/>
          </m:rPr>
          <m:t>Ω</m:t>
        </m:r>
      </m:oMath>
      <w:r>
        <w:t xml:space="preserve">. Para</w:t>
      </w:r>
      <w:r>
        <w:t xml:space="preserve"> </w:t>
      </w:r>
      <m:oMath>
        <m:r>
          <m:t>N</m:t>
        </m:r>
      </m:oMath>
      <w:r>
        <w:t xml:space="preserve"> </w:t>
      </w:r>
      <w:r>
        <w:t xml:space="preserve">partículas idénticas en volumen</w:t>
      </w:r>
      <w:r>
        <w:t xml:space="preserve"> </w:t>
      </w:r>
      <m:oMath>
        <m:r>
          <m:t>V</m:t>
        </m:r>
      </m:oMath>
      <w:r>
        <w:t xml:space="preserve"> </w:t>
      </w:r>
      <w:r>
        <w:t xml:space="preserve">y energía</w:t>
      </w:r>
      <w:r>
        <w:t xml:space="preserve"> </w:t>
      </w:r>
      <m:oMath>
        <m:r>
          <m:t>U</m:t>
        </m:r>
      </m:oMath>
      <w:r>
        <w:t xml:space="preserve">, el conteo correcto de microestados divide por</w:t>
      </w:r>
      <w:r>
        <w:t xml:space="preserve"> </w:t>
      </w:r>
      <m:oMath>
        <m:r>
          <m:t>N</m:t>
        </m:r>
        <m:r>
          <m:rPr>
            <m:sty m:val="p"/>
          </m:rPr>
          <m:t>!</m:t>
        </m:r>
      </m:oMath>
      <w:r>
        <w:t xml:space="preserve"> </w:t>
      </w:r>
      <w:r>
        <w:t xml:space="preserve">—el número de permutaciones de partículas que no generan estados físicamente distintos:</w:t>
      </w:r>
    </w:p>
    <w:p>
      <w:pPr>
        <w:pStyle w:val="BodyText"/>
      </w:pPr>
      <m:oMathPara>
        <m:oMathParaPr>
          <m:jc m:val="center"/>
        </m:oMathParaPr>
        <m:oMath>
          <m:r>
            <m:rPr>
              <m:sty m:val="p"/>
            </m:rPr>
            <m:t>Ω</m:t>
          </m:r>
          <m:r>
            <m:rPr>
              <m:sty m:val="p"/>
            </m:rPr>
            <m:t>=</m:t>
          </m:r>
          <m:f>
            <m:fPr>
              <m:type m:val="bar"/>
            </m:fPr>
            <m:num>
              <m:r>
                <m:t>1</m:t>
              </m:r>
            </m:num>
            <m:den>
              <m:r>
                <m:t>N</m:t>
              </m:r>
              <m:r>
                <m:rPr>
                  <m:sty m:val="p"/>
                </m:rPr>
                <m:t>!</m:t>
              </m:r>
            </m:den>
          </m:f>
          <m:r>
            <m:rPr>
              <m:sty m:val="p"/>
            </m:rPr>
            <m:t>⋅</m:t>
          </m:r>
          <m:f>
            <m:fPr>
              <m:type m:val="bar"/>
            </m:fPr>
            <m:num>
              <m:sSup>
                <m:e>
                  <m:r>
                    <m:t>V</m:t>
                  </m:r>
                </m:e>
                <m:sup>
                  <m:r>
                    <m:t>N</m:t>
                  </m:r>
                </m:sup>
              </m:sSup>
            </m:num>
            <m:den>
              <m:sSup>
                <m:e>
                  <m:r>
                    <m:t>h</m:t>
                  </m:r>
                </m:e>
                <m:sup>
                  <m:r>
                    <m:t>3</m:t>
                  </m:r>
                  <m:r>
                    <m:t>N</m:t>
                  </m:r>
                </m:sup>
              </m:sSup>
            </m:den>
          </m:f>
          <m:r>
            <m:rPr>
              <m:sty m:val="p"/>
            </m:rPr>
            <m:t>⋅</m:t>
          </m:r>
          <m:f>
            <m:fPr>
              <m:type m:val="bar"/>
            </m:fPr>
            <m:num>
              <m:r>
                <m:rPr>
                  <m:sty m:val="p"/>
                </m:rPr>
                <m:t>(</m:t>
              </m:r>
              <m:r>
                <m:t>2</m:t>
              </m:r>
              <m:r>
                <m:t>π</m:t>
              </m:r>
              <m:r>
                <m:t>m</m:t>
              </m:r>
              <m:r>
                <m:t>U</m:t>
              </m:r>
              <m:sSup>
                <m:e>
                  <m:r>
                    <m:rPr>
                      <m:sty m:val="p"/>
                    </m:rPr>
                    <m:t>)</m:t>
                  </m:r>
                </m:e>
                <m:sup>
                  <m:r>
                    <m:t>3</m:t>
                  </m:r>
                  <m:r>
                    <m:t>N</m:t>
                  </m:r>
                  <m:r>
                    <m:rPr>
                      <m:sty m:val="p"/>
                    </m:rPr>
                    <m:t>/</m:t>
                  </m:r>
                  <m:r>
                    <m:t>2</m:t>
                  </m:r>
                </m:sup>
              </m:sSup>
            </m:num>
            <m:den>
              <m:r>
                <m:rPr>
                  <m:sty m:val="p"/>
                </m:rPr>
                <m:t>(</m:t>
              </m:r>
              <m:r>
                <m:t>3</m:t>
              </m:r>
              <m:r>
                <m:t>N</m:t>
              </m:r>
              <m:r>
                <m:rPr>
                  <m:sty m:val="p"/>
                </m:rPr>
                <m:t>/</m:t>
              </m:r>
              <m:r>
                <m:t>2</m:t>
              </m:r>
              <m:r>
                <m:rPr>
                  <m:sty m:val="p"/>
                </m:rPr>
                <m:t>)</m:t>
              </m:r>
              <m:r>
                <m:rPr>
                  <m:sty m:val="p"/>
                </m:rPr>
                <m:t>!</m:t>
              </m:r>
            </m:den>
          </m:f>
          <m:r>
            <m:rPr>
              <m:sty m:val="p"/>
            </m:rPr>
            <m:t>.</m:t>
          </m:r>
        </m:oMath>
      </m:oMathPara>
    </w:p>
    <w:p>
      <w:pPr>
        <w:pStyle w:val="FirstParagraph"/>
      </w:pPr>
      <w:r>
        <w:t xml:space="preserve">Aplicando</w:t>
      </w:r>
      <w:r>
        <w:t xml:space="preserve"> </w:t>
      </w:r>
      <m:oMath>
        <m:r>
          <m:t>S</m:t>
        </m:r>
        <m:r>
          <m:rPr>
            <m:sty m:val="p"/>
          </m:rPr>
          <m:t>=</m:t>
        </m:r>
        <m:sSub>
          <m:e>
            <m:r>
              <m:t>k</m:t>
            </m:r>
          </m:e>
          <m:sub>
            <m:r>
              <m:t>B</m:t>
            </m:r>
          </m:sub>
        </m:sSub>
        <m:r>
          <m:rPr>
            <m:sty m:val="p"/>
          </m:rPr>
          <m:t>ln</m:t>
        </m:r>
        <m:r>
          <m:rPr>
            <m:sty m:val="p"/>
          </m:rPr>
          <m:t>Ω</m:t>
        </m:r>
      </m:oMath>
      <w:r>
        <w:t xml:space="preserve"> </w:t>
      </w:r>
      <w:r>
        <w:t xml:space="preserve">y la aproximación de Stirling (</w:t>
      </w:r>
      <m:oMath>
        <m:r>
          <m:rPr>
            <m:sty m:val="p"/>
          </m:rPr>
          <m:t>ln</m:t>
        </m:r>
        <m:r>
          <m:t>n</m:t>
        </m:r>
        <m:r>
          <m:rPr>
            <m:sty m:val="p"/>
          </m:rPr>
          <m:t>!</m:t>
        </m:r>
        <m:r>
          <m:rPr>
            <m:sty m:val="p"/>
          </m:rPr>
          <m:t>≈</m:t>
        </m:r>
        <m:r>
          <m:t>n</m:t>
        </m:r>
        <m:r>
          <m:rPr>
            <m:sty m:val="p"/>
          </m:rPr>
          <m:t>ln</m:t>
        </m:r>
        <m:r>
          <m:t>n</m:t>
        </m:r>
        <m:r>
          <m:rPr>
            <m:sty m:val="p"/>
          </m:rPr>
          <m:t>−</m:t>
        </m:r>
        <m:r>
          <m:t>n</m:t>
        </m:r>
      </m:oMath>
      <w:r>
        <w:t xml:space="preserve">):</w:t>
      </w:r>
    </w:p>
    <w:p>
      <w:pPr>
        <w:pStyle w:val="BodyText"/>
      </w:pPr>
      <m:oMathPara>
        <m:oMathParaPr>
          <m:jc m:val="center"/>
        </m:oMathParaPr>
        <m:oMath>
          <m:borderBox>
            <m:e>
              <m:sSub>
                <m:e>
                  <m:r>
                    <m:t>S</m:t>
                  </m:r>
                </m:e>
                <m:sub>
                  <m:r>
                    <m:rPr>
                      <m:nor/>
                      <m:sty m:val="p"/>
                    </m:rPr>
                    <m:t>ST</m:t>
                  </m:r>
                </m:sub>
              </m:sSub>
              <m:r>
                <m:rPr>
                  <m:sty m:val="p"/>
                </m:rPr>
                <m:t>=</m:t>
              </m:r>
              <m:r>
                <m:t>N</m:t>
              </m:r>
              <m:sSub>
                <m:e>
                  <m:r>
                    <m:t>k</m:t>
                  </m:r>
                </m:e>
                <m:sub>
                  <m:r>
                    <m:t>B</m:t>
                  </m:r>
                </m:sub>
              </m:sSub>
              <m:d>
                <m:dPr>
                  <m:begChr m:val="["/>
                  <m:sepChr m:val=""/>
                  <m:endChr m:val="]"/>
                  <m:grow/>
                </m:dPr>
                <m:e>
                  <m:r>
                    <m:rPr>
                      <m:sty m:val="p"/>
                    </m:rPr>
                    <m:t>ln</m:t>
                  </m:r>
                  <m:f>
                    <m:fPr>
                      <m:type m:val="bar"/>
                    </m:fPr>
                    <m:num>
                      <m:r>
                        <m:t>V</m:t>
                      </m:r>
                    </m:num>
                    <m:den>
                      <m:r>
                        <m:t>N</m:t>
                      </m:r>
                    </m:den>
                  </m:f>
                  <m:sSup>
                    <m:e>
                      <m:d>
                        <m:dPr>
                          <m:begChr m:val="("/>
                          <m:sepChr m:val=""/>
                          <m:end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e>
          </m:borderBox>
        </m:oMath>
      </m:oMathPara>
    </w:p>
    <w:p>
      <w:pPr>
        <w:pStyle w:val="FirstParagraph"/>
      </w:pPr>
      <w:r>
        <w:t xml:space="preserve">Esta es la</w:t>
      </w:r>
      <w:r>
        <w:t xml:space="preserve"> </w:t>
      </w:r>
      <w:r>
        <w:rPr>
          <w:b/>
          <w:bCs/>
        </w:rPr>
        <w:t xml:space="preserve">fórmula de Sackur–Tetrode</w:t>
      </w:r>
      <w:r>
        <w:t xml:space="preserve">. Es extensiva:</w:t>
      </w:r>
      <w:r>
        <w:t xml:space="preserve"> </w:t>
      </w:r>
      <m:oMath>
        <m:r>
          <m:t>S</m:t>
        </m:r>
        <m:r>
          <m:rPr>
            <m:sty m:val="p"/>
          </m:rPr>
          <m:t>(</m:t>
        </m:r>
        <m:r>
          <m:t>2</m:t>
        </m:r>
        <m:r>
          <m:t>N</m:t>
        </m:r>
        <m:r>
          <m:rPr>
            <m:sty m:val="p"/>
          </m:rPr>
          <m:t>,</m:t>
        </m:r>
        <m:r>
          <m:t>2</m:t>
        </m:r>
        <m:r>
          <m:t>V</m:t>
        </m:r>
        <m:r>
          <m:rPr>
            <m:sty m:val="p"/>
          </m:rPr>
          <m:t>,</m:t>
        </m:r>
        <m:r>
          <m:t>T</m:t>
        </m:r>
        <m:r>
          <m:rPr>
            <m:sty m:val="p"/>
          </m:rPr>
          <m:t>)</m:t>
        </m:r>
        <m:r>
          <m:rPr>
            <m:sty m:val="p"/>
          </m:rPr>
          <m:t>=</m:t>
        </m:r>
        <m:r>
          <m:t>2</m:t>
        </m:r>
        <m:r>
          <m:t>S</m:t>
        </m:r>
        <m:r>
          <m:rPr>
            <m:sty m:val="p"/>
          </m:rPr>
          <m:t>(</m:t>
        </m:r>
        <m:r>
          <m:t>N</m:t>
        </m:r>
        <m:r>
          <m:rPr>
            <m:sty m:val="p"/>
          </m:rPr>
          <m:t>,</m:t>
        </m:r>
        <m:r>
          <m:t>V</m:t>
        </m:r>
        <m:r>
          <m:rPr>
            <m:sty m:val="p"/>
          </m:rPr>
          <m:t>,</m:t>
        </m:r>
        <m:r>
          <m:t>T</m:t>
        </m:r>
        <m:r>
          <m:rPr>
            <m:sty m:val="p"/>
          </m:rPr>
          <m:t>)</m:t>
        </m:r>
      </m:oMath>
      <w:r>
        <w:t xml:space="preserve">, por lo que</w:t>
      </w:r>
      <w:r>
        <w:t xml:space="preserve"> </w:t>
      </w:r>
      <m:oMath>
        <m:r>
          <m:rPr>
            <m:sty m:val="p"/>
          </m:rPr>
          <m:t>Δ</m:t>
        </m:r>
        <m:sSub>
          <m:e>
            <m:r>
              <m:t>S</m:t>
            </m:r>
          </m:e>
          <m:sub>
            <m:r>
              <m:rPr>
                <m:nor/>
                <m:sty m:val="p"/>
              </m:rPr>
              <m:t>mezcla</m:t>
            </m:r>
          </m:sub>
        </m:sSub>
        <m:r>
          <m:rPr>
            <m:sty m:val="p"/>
          </m:rPr>
          <m:t>=</m:t>
        </m:r>
        <m:r>
          <m:t>0</m:t>
        </m:r>
      </m:oMath>
      <w:r>
        <w:t xml:space="preserve">. La paradoja desaparece. Nótese que la constante de Planck</w:t>
      </w:r>
      <w:r>
        <w:t xml:space="preserve"> </w:t>
      </w:r>
      <m:oMath>
        <m:r>
          <m:t>h</m:t>
        </m:r>
      </m:oMath>
      <w:r>
        <w:t xml:space="preserve"> </w:t>
      </w:r>
      <w:r>
        <w:t xml:space="preserve">es necesaria: la entropía absoluta del gas ideal no puede calcularse sin mecánica cuántica.</w:t>
      </w:r>
    </w:p>
    <w:bookmarkEnd w:id="15"/>
    <w:bookmarkStart w:id="16" w:name="entropía-del-gas-de-van-der-waals"/>
    <w:p>
      <w:pPr>
        <w:pStyle w:val="Heading3"/>
      </w:pPr>
      <w:r>
        <w:t xml:space="preserve">3.5 Entropía del gas de Van der Waals</w:t>
      </w:r>
    </w:p>
    <w:p>
      <w:pPr>
        <w:pStyle w:val="FirstParagraph"/>
      </w:pPr>
      <w:r>
        <w:t xml:space="preserve">La ecuación de Van der Waals corrige el gas ideal incorporando el volumen excluido</w:t>
      </w:r>
      <w:r>
        <w:t xml:space="preserve"> </w:t>
      </w:r>
      <m:oMath>
        <m:r>
          <m:t>b</m:t>
        </m:r>
      </m:oMath>
      <w:r>
        <w:t xml:space="preserve"> </w:t>
      </w:r>
      <w:r>
        <w:t xml:space="preserve">y las atracciones moleculares</w:t>
      </w:r>
      <w:r>
        <w:t xml:space="preserve"> </w:t>
      </w:r>
      <m:oMath>
        <m:r>
          <m:t>a</m:t>
        </m:r>
      </m:oMath>
      <w:r>
        <w:t xml:space="preserve">:</w:t>
      </w:r>
    </w:p>
    <w:p>
      <w:pPr>
        <w:pStyle w:val="BodyText"/>
      </w:pPr>
      <m:oMathPara>
        <m:oMathParaPr>
          <m:jc m:val="center"/>
        </m:oMathParaPr>
        <m:oMath>
          <m:d>
            <m:dPr>
              <m:begChr m:val="("/>
              <m:sepChr m:val=""/>
              <m:endChr m:val=")"/>
              <m:grow/>
            </m:dPr>
            <m:e>
              <m:r>
                <m:t>P</m:t>
              </m:r>
              <m:r>
                <m:rPr>
                  <m:sty m:val="p"/>
                </m:rPr>
                <m:t>+</m:t>
              </m:r>
              <m:f>
                <m:fPr>
                  <m:type m:val="bar"/>
                </m:fPr>
                <m:num>
                  <m:r>
                    <m:t>a</m:t>
                  </m:r>
                  <m:sSup>
                    <m:e>
                      <m:r>
                        <m:t>N</m:t>
                      </m:r>
                    </m:e>
                    <m:sup>
                      <m:r>
                        <m:t>2</m:t>
                      </m:r>
                    </m:sup>
                  </m:sSup>
                </m:num>
                <m:den>
                  <m:sSup>
                    <m:e>
                      <m:r>
                        <m:t>V</m:t>
                      </m:r>
                    </m:e>
                    <m:sup>
                      <m:r>
                        <m:t>2</m:t>
                      </m:r>
                    </m:sup>
                  </m:sSup>
                </m:den>
              </m:f>
            </m:e>
          </m:d>
          <m:r>
            <m:rPr>
              <m:sty m:val="p"/>
            </m:rPr>
            <m:t>(</m:t>
          </m:r>
          <m:r>
            <m:t>V</m:t>
          </m:r>
          <m:r>
            <m:rPr>
              <m:sty m:val="p"/>
            </m:rPr>
            <m:t>−</m:t>
          </m:r>
          <m:r>
            <m:t>N</m:t>
          </m:r>
          <m:r>
            <m:t>b</m:t>
          </m:r>
          <m:r>
            <m:rPr>
              <m:sty m:val="p"/>
            </m:rPr>
            <m:t>)</m:t>
          </m:r>
          <m:r>
            <m:rPr>
              <m:sty m:val="p"/>
            </m:rPr>
            <m:t>=</m:t>
          </m:r>
          <m:r>
            <m:t>N</m:t>
          </m:r>
          <m:sSub>
            <m:e>
              <m:r>
                <m:t>k</m:t>
              </m:r>
            </m:e>
            <m:sub>
              <m:r>
                <m:t>B</m:t>
              </m:r>
            </m:sub>
          </m:sSub>
          <m:r>
            <m:t>T</m:t>
          </m:r>
          <m:r>
            <m:rPr>
              <m:sty m:val="p"/>
            </m:rPr>
            <m:t>.</m:t>
          </m:r>
        </m:oMath>
      </m:oMathPara>
    </w:p>
    <w:p>
      <w:pPr>
        <w:pStyle w:val="FirstParagraph"/>
      </w:pPr>
      <w:r>
        <w:t xml:space="preserve">Para calcular</w:t>
      </w:r>
      <w:r>
        <w:t xml:space="preserve"> </w:t>
      </w:r>
      <m:oMath>
        <m:r>
          <m:t>d</m:t>
        </m:r>
        <m:r>
          <m:t>S</m:t>
        </m:r>
      </m:oMath>
      <w:r>
        <w:t xml:space="preserve">, se necesita</w:t>
      </w:r>
      <w:r>
        <w:t xml:space="preserve"> </w:t>
      </w:r>
      <m:oMath>
        <m:r>
          <m:rPr>
            <m:sty m:val="p"/>
          </m:rPr>
          <m:t>(</m:t>
        </m:r>
        <m:r>
          <m:rPr>
            <m:sty m:val="p"/>
          </m:rPr>
          <m:t>∂</m:t>
        </m:r>
        <m:r>
          <m:t>U</m:t>
        </m:r>
        <m:r>
          <m:rPr>
            <m:sty m:val="p"/>
          </m:rPr>
          <m:t>/</m:t>
        </m:r>
        <m:r>
          <m:rPr>
            <m:sty m:val="p"/>
          </m:rPr>
          <m:t>∂</m:t>
        </m:r>
        <m:r>
          <m:t>V</m:t>
        </m:r>
        <m:sSub>
          <m:e>
            <m:r>
              <m:rPr>
                <m:sty m:val="p"/>
              </m:rPr>
              <m:t>)</m:t>
            </m:r>
          </m:e>
          <m:sub>
            <m:r>
              <m:t>T</m:t>
            </m:r>
          </m:sub>
        </m:sSub>
      </m:oMath>
      <w:r>
        <w:t xml:space="preserve">. Por la relación de Maxwell del potencial de Helmholtz:</w:t>
      </w:r>
    </w:p>
    <w:p>
      <w:pPr>
        <w:pStyle w:val="BodyText"/>
      </w:pPr>
      <m:oMathPara>
        <m:oMathParaPr>
          <m:jc m:val="cente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t>P</m:t>
          </m:r>
          <m:r>
            <m:rPr>
              <m:sty m:val="p"/>
            </m:rPr>
            <m:t>=</m:t>
          </m:r>
          <m:f>
            <m:fPr>
              <m:type m:val="bar"/>
            </m:fPr>
            <m:num>
              <m:r>
                <m:t>a</m:t>
              </m:r>
              <m:sSup>
                <m:e>
                  <m:r>
                    <m:t>N</m:t>
                  </m:r>
                </m:e>
                <m:sup>
                  <m:r>
                    <m:t>2</m:t>
                  </m:r>
                </m:sup>
              </m:sSup>
            </m:num>
            <m:den>
              <m:sSup>
                <m:e>
                  <m:r>
                    <m:t>V</m:t>
                  </m:r>
                </m:e>
                <m:sup>
                  <m:r>
                    <m:t>2</m:t>
                  </m:r>
                </m:sup>
              </m:sSup>
            </m:den>
          </m:f>
          <m:r>
            <m:rPr>
              <m:sty m:val="p"/>
            </m:rPr>
            <m:t>.</m:t>
          </m:r>
        </m:oMath>
      </m:oMathPara>
    </w:p>
    <w:p>
      <w:pPr>
        <w:pStyle w:val="FirstParagraph"/>
      </w:pPr>
      <w:r>
        <w:t xml:space="preserve">Este término representa la energía potencial de las atracciones: al expandir, las moléculas se alejan y el sistema gana energía potencial. Calculando</w:t>
      </w:r>
      <w:r>
        <w:t xml:space="preserve"> </w:t>
      </w:r>
      <m:oMath>
        <m:r>
          <m:t>d</m:t>
        </m:r>
        <m:r>
          <m:t>S</m:t>
        </m:r>
      </m:oMath>
      <w:r>
        <w:t xml:space="preserv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f>
            <m:fPr>
              <m:type m:val="bar"/>
            </m:fPr>
            <m:num>
              <m:r>
                <m:t>N</m:t>
              </m:r>
              <m:sSub>
                <m:e>
                  <m:r>
                    <m:t>k</m:t>
                  </m:r>
                </m:e>
                <m:sub>
                  <m:r>
                    <m:t>B</m:t>
                  </m:r>
                </m:sub>
              </m:sSub>
            </m:num>
            <m:den>
              <m:r>
                <m:t>V</m:t>
              </m:r>
              <m:r>
                <m:rPr>
                  <m:sty m:val="p"/>
                </m:rPr>
                <m:t>−</m:t>
              </m:r>
              <m:r>
                <m:t>N</m:t>
              </m:r>
              <m:r>
                <m:t>b</m:t>
              </m:r>
            </m:den>
          </m:f>
          <m:r>
            <m:t> </m:t>
          </m:r>
          <m:r>
            <m:t>d</m:t>
          </m:r>
          <m:r>
            <m:t>V</m:t>
          </m:r>
          <m:r>
            <m:rPr>
              <m:sty m:val="p"/>
            </m:rPr>
            <m:t>.</m:t>
          </m:r>
        </m:oMath>
      </m:oMathPara>
    </w:p>
    <w:p>
      <w:pPr>
        <w:pStyle w:val="FirstParagraph"/>
      </w:pPr>
      <w:r>
        <w:t xml:space="preserve">Los términos con</w:t>
      </w:r>
      <w:r>
        <w:t xml:space="preserve"> </w:t>
      </w:r>
      <m:oMath>
        <m:r>
          <m:t>a</m:t>
        </m:r>
      </m:oMath>
      <w:r>
        <w:t xml:space="preserve"> </w:t>
      </w:r>
      <w:r>
        <w:t xml:space="preserve">se cancelan exactamente. Integrando:</w:t>
      </w:r>
    </w:p>
    <w:p>
      <w:pPr>
        <w:pStyle w:val="BodyText"/>
      </w:pPr>
      <m:oMathPara>
        <m:oMathParaPr>
          <m:jc m:val="center"/>
        </m:oMathParaPr>
        <m:oMath>
          <m:borderBox>
            <m:e>
              <m:sSub>
                <m:e>
                  <m:r>
                    <m:t>S</m:t>
                  </m:r>
                </m:e>
                <m:sub>
                  <m:r>
                    <m:rPr>
                      <m:nor/>
                      <m:sty m:val="p"/>
                    </m:rPr>
                    <m:t>VdW</m:t>
                  </m:r>
                </m:sub>
              </m:sSub>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rPr>
                  <m:sty m:val="p"/>
                </m:rPr>
                <m:t>(</m:t>
              </m:r>
              <m:r>
                <m:t>V</m:t>
              </m:r>
              <m:r>
                <m:rPr>
                  <m:sty m:val="p"/>
                </m:rPr>
                <m:t>−</m:t>
              </m:r>
              <m:r>
                <m:t>N</m:t>
              </m:r>
              <m:r>
                <m:t>b</m:t>
              </m:r>
              <m:r>
                <m:rPr>
                  <m:sty m:val="p"/>
                </m:rPr>
                <m:t>)</m:t>
              </m:r>
              <m:r>
                <m:rPr>
                  <m:sty m:val="p"/>
                </m:rPr>
                <m:t>+</m:t>
              </m:r>
              <m:sSup>
                <m:e>
                  <m:r>
                    <m:t>C</m:t>
                  </m:r>
                </m:e>
                <m:sup>
                  <m:r>
                    <m:rPr>
                      <m:sty m:val="p"/>
                    </m:rPr>
                    <m:t>′</m:t>
                  </m:r>
                </m:sup>
              </m:sSup>
              <m:r>
                <m:rPr>
                  <m:sty m:val="p"/>
                </m:rPr>
                <m:t>(</m:t>
              </m:r>
              <m:r>
                <m:t>N</m:t>
              </m:r>
              <m:r>
                <m:rPr>
                  <m:sty m:val="p"/>
                </m:rPr>
                <m:t>)</m:t>
              </m:r>
              <m:r>
                <m:rPr>
                  <m:sty m:val="p"/>
                </m:rPr>
                <m:t>.</m:t>
              </m:r>
            </m:e>
          </m:borderBox>
        </m:oMath>
      </m:oMathPara>
    </w:p>
    <w:p>
      <w:pPr>
        <w:pStyle w:val="FirstParagraph"/>
      </w:pPr>
      <w:r>
        <w:rPr>
          <w:b/>
          <w:bCs/>
        </w:rPr>
        <w:t xml:space="preserve">Comparación directa:</w:t>
      </w:r>
    </w:p>
    <w:tbl>
      <w:tblPr>
        <w:tblStyle w:val="Table"/>
        <w:tblW w:type="pct" w:w="5000"/>
        <w:tblLayout w:type="fixed"/>
        <w:tblLook w:firstRow="1" w:lastRow="0" w:firstColumn="0" w:lastColumn="0" w:noHBand="0" w:noVBand="0" w:val="0020"/>
      </w:tblPr>
      <w:tblGrid>
        <w:gridCol w:w="1841"/>
        <w:gridCol w:w="2026"/>
        <w:gridCol w:w="4052"/>
      </w:tblGrid>
      <w:tr>
        <w:trPr>
          <w:tblHeader w:val="on"/>
        </w:trPr>
        <w:tc>
          <w:tcPr/>
          <w:p>
            <w:pPr>
              <w:pStyle w:val="Compact"/>
            </w:pPr>
            <w:r>
              <w:t xml:space="preserve">Cantidad</w:t>
            </w:r>
          </w:p>
        </w:tc>
        <w:tc>
          <w:tcPr/>
          <w:p>
            <w:pPr>
              <w:pStyle w:val="Compact"/>
            </w:pPr>
            <w:r>
              <w:t xml:space="preserve">Gas ideal</w:t>
            </w:r>
          </w:p>
        </w:tc>
        <w:tc>
          <w:tcPr/>
          <w:p>
            <w:pPr>
              <w:pStyle w:val="Compact"/>
            </w:pPr>
            <w:r>
              <w:t xml:space="preserve">Gas de Van der Waals</w:t>
            </w:r>
          </w:p>
        </w:tc>
      </w:tr>
      <w:tr>
        <w:tc>
          <w:tcPr/>
          <w:p>
            <w:pPr>
              <w:pStyle w:val="Compact"/>
            </w:pPr>
            <w:r>
              <w:t xml:space="preserve">Entropía</w:t>
            </w:r>
          </w:p>
        </w:tc>
        <w:tc>
          <w:tcPr/>
          <w:p>
            <w:pPr>
              <w:pStyle w:val="Compact"/>
            </w:pPr>
            <m:oMath>
              <m:r>
                <m:rPr>
                  <m:sty m:val="p"/>
                </m:rPr>
                <m:t>∼</m:t>
              </m:r>
              <m:r>
                <m:t>N</m:t>
              </m:r>
              <m:sSub>
                <m:e>
                  <m:r>
                    <m:t>k</m:t>
                  </m:r>
                </m:e>
                <m:sub>
                  <m:r>
                    <m:t>B</m:t>
                  </m:r>
                </m:sub>
              </m:sSub>
              <m:r>
                <m:rPr>
                  <m:sty m:val="p"/>
                </m:rPr>
                <m:t>ln</m:t>
              </m:r>
              <m:r>
                <m:t>V</m:t>
              </m:r>
            </m:oMath>
            <w:r>
              <w:t xml:space="preserve">​</w:t>
            </w:r>
          </w:p>
        </w:tc>
        <w:tc>
          <w:tcPr/>
          <w:p>
            <w:pPr>
              <w:pStyle w:val="Compact"/>
            </w:pPr>
            <m:oMath>
              <m:r>
                <m:rPr>
                  <m:sty m:val="p"/>
                </m:rPr>
                <m:t>∼</m:t>
              </m:r>
              <m:r>
                <m:t>N</m:t>
              </m:r>
              <m:sSub>
                <m:e>
                  <m:r>
                    <m:t>k</m:t>
                  </m:r>
                </m:e>
                <m:sub>
                  <m:r>
                    <m:t>B</m:t>
                  </m:r>
                </m:sub>
              </m:sSub>
              <m:r>
                <m:rPr>
                  <m:sty m:val="p"/>
                </m:rPr>
                <m:t>ln</m:t>
              </m:r>
              <m:r>
                <m:rPr>
                  <m:sty m:val="p"/>
                </m:rPr>
                <m:t>(</m:t>
              </m:r>
              <m:r>
                <m:t>V</m:t>
              </m:r>
              <m:r>
                <m:rPr>
                  <m:sty m:val="p"/>
                </m:rPr>
                <m:t>−</m:t>
              </m:r>
              <m:r>
                <m:t>N</m:t>
              </m:r>
              <m:r>
                <m:t>b</m:t>
              </m:r>
              <m:r>
                <m:rPr>
                  <m:sty m:val="p"/>
                </m:rPr>
                <m:t>)</m:t>
              </m:r>
            </m:oMath>
            <w:r>
              <w:t xml:space="preserve">​</w:t>
            </w:r>
          </w:p>
        </w:tc>
      </w:tr>
      <w:tr>
        <w:tc>
          <w:tcPr/>
          <w:p>
            <w:pPr>
              <w:pStyle w:val="Compact"/>
            </w:pPr>
            <w:r>
              <w:t xml:space="preserve">Energía interna</w:t>
            </w:r>
          </w:p>
        </w:tc>
        <w:tc>
          <w:tcPr/>
          <w:p>
            <w:pPr>
              <w:pStyle w:val="Compact"/>
            </w:pPr>
            <m:oMath>
              <m:f>
                <m:fPr>
                  <m:type m:val="bar"/>
                </m:fPr>
                <m:num>
                  <m:r>
                    <m:t>3</m:t>
                  </m:r>
                </m:num>
                <m:den>
                  <m:r>
                    <m:t>2</m:t>
                  </m:r>
                </m:den>
              </m:f>
              <m:r>
                <m:t>N</m:t>
              </m:r>
              <m:sSub>
                <m:e>
                  <m:r>
                    <m:t>k</m:t>
                  </m:r>
                </m:e>
                <m:sub>
                  <m:r>
                    <m:t>B</m:t>
                  </m:r>
                </m:sub>
              </m:sSub>
              <m:r>
                <m:t>T</m:t>
              </m:r>
            </m:oMath>
            <w:r>
              <w:t xml:space="preserve">​</w:t>
            </w:r>
          </w:p>
        </w:tc>
        <w:tc>
          <w:tcPr/>
          <w:p>
            <w:pPr>
              <w:pStyle w:val="Compact"/>
            </w:pPr>
            <m:oMath>
              <m:f>
                <m:fPr>
                  <m:type m:val="bar"/>
                </m:fPr>
                <m:num>
                  <m:r>
                    <m:t>3</m:t>
                  </m:r>
                </m:num>
                <m:den>
                  <m:r>
                    <m:t>2</m:t>
                  </m:r>
                </m:den>
              </m:f>
              <m:r>
                <m:t>N</m:t>
              </m:r>
              <m:sSub>
                <m:e>
                  <m:r>
                    <m:t>k</m:t>
                  </m:r>
                </m:e>
                <m:sub>
                  <m:r>
                    <m:t>B</m:t>
                  </m:r>
                </m:sub>
              </m:sSub>
              <m:r>
                <m:t>T</m:t>
              </m:r>
              <m:r>
                <m:rPr>
                  <m:sty m:val="p"/>
                </m:rPr>
                <m:t>−</m:t>
              </m:r>
              <m:f>
                <m:fPr>
                  <m:type m:val="bar"/>
                </m:fPr>
                <m:num>
                  <m:r>
                    <m:t>a</m:t>
                  </m:r>
                  <m:sSup>
                    <m:e>
                      <m:r>
                        <m:t>N</m:t>
                      </m:r>
                    </m:e>
                    <m:sup>
                      <m:r>
                        <m:t>2</m:t>
                      </m:r>
                    </m:sup>
                  </m:sSup>
                </m:num>
                <m:den>
                  <m:r>
                    <m:t>V</m:t>
                  </m:r>
                </m:den>
              </m:f>
            </m:oMath>
            <w:r>
              <w:t xml:space="preserve">​</w:t>
            </w:r>
          </w:p>
        </w:tc>
      </w:tr>
      <w:tr>
        <w:tc>
          <w:tcPr/>
          <w:p>
            <w:pPr>
              <w:pStyle w:val="Compact"/>
            </w:pPr>
            <m:oMath>
              <m:sSub>
                <m:e>
                  <m:r>
                    <m:t>C</m:t>
                  </m:r>
                </m:e>
                <m:sub>
                  <m:r>
                    <m:t>V</m:t>
                  </m:r>
                </m:sub>
              </m:sSub>
            </m:oMath>
            <w:r>
              <w:t xml:space="preserve">​</w:t>
            </w:r>
          </w:p>
        </w:tc>
        <w:tc>
          <w:tcPr/>
          <w:p>
            <w:pPr>
              <w:pStyle w:val="Compact"/>
            </w:pPr>
            <m:oMath>
              <m:f>
                <m:fPr>
                  <m:type m:val="bar"/>
                </m:fPr>
                <m:num>
                  <m:r>
                    <m:t>3</m:t>
                  </m:r>
                </m:num>
                <m:den>
                  <m:r>
                    <m:t>2</m:t>
                  </m:r>
                </m:den>
              </m:f>
              <m:r>
                <m:t>N</m:t>
              </m:r>
              <m:sSub>
                <m:e>
                  <m:r>
                    <m:t>k</m:t>
                  </m:r>
                </m:e>
                <m:sub>
                  <m:r>
                    <m:t>B</m:t>
                  </m:r>
                </m:sub>
              </m:sSub>
            </m:oMath>
            <w:r>
              <w:t xml:space="preserve">​</w:t>
            </w:r>
          </w:p>
        </w:tc>
        <w:tc>
          <w:tcPr/>
          <w:p>
            <w:pPr>
              <w:pStyle w:val="Compact"/>
            </w:pPr>
            <m:oMath>
              <m:f>
                <m:fPr>
                  <m:type m:val="bar"/>
                </m:fPr>
                <m:num>
                  <m:r>
                    <m:t>3</m:t>
                  </m:r>
                </m:num>
                <m:den>
                  <m:r>
                    <m:t>2</m:t>
                  </m:r>
                </m:den>
              </m:f>
              <m:r>
                <m:t>N</m:t>
              </m:r>
              <m:sSub>
                <m:e>
                  <m:r>
                    <m:t>k</m:t>
                  </m:r>
                </m:e>
                <m:sub>
                  <m:r>
                    <m:t>B</m:t>
                  </m:r>
                </m:sub>
              </m:sSub>
            </m:oMath>
            <w:r>
              <w:t xml:space="preserve">​</w:t>
            </w:r>
          </w:p>
        </w:tc>
      </w:tr>
    </w:tbl>
    <w:p>
      <w:pPr>
        <w:pStyle w:val="BodyText"/>
      </w:pPr>
      <w:r>
        <w:t xml:space="preserve">El parámetro</w:t>
      </w:r>
      <w:r>
        <w:t xml:space="preserve"> </w:t>
      </w:r>
      <m:oMath>
        <m:r>
          <m:t>b</m:t>
        </m:r>
      </m:oMath>
      <w:r>
        <w:t xml:space="preserve"> </w:t>
      </w:r>
      <w:r>
        <w:t xml:space="preserve">reduce el volumen libre, disminuyendo la entropía accesible. El parámetro</w:t>
      </w:r>
      <w:r>
        <w:t xml:space="preserve"> </w:t>
      </w:r>
      <m:oMath>
        <m:r>
          <m:t>a</m:t>
        </m:r>
      </m:oMath>
      <w:r>
        <w:t xml:space="preserve"> </w:t>
      </w:r>
      <w:r>
        <w:t xml:space="preserve">no modifica</w:t>
      </w:r>
      <w:r>
        <w:t xml:space="preserve"> </w:t>
      </w:r>
      <m:oMath>
        <m:r>
          <m:t>S</m:t>
        </m:r>
      </m:oMath>
      <w:r>
        <w:t xml:space="preserve"> </w:t>
      </w:r>
      <w:r>
        <w:t xml:space="preserve">directamente, pero sí</w:t>
      </w:r>
      <w:r>
        <w:t xml:space="preserve"> </w:t>
      </w:r>
      <m:oMath>
        <m:r>
          <m:t>U</m:t>
        </m:r>
      </m:oMath>
      <w:r>
        <w:t xml:space="preserve">: es la fuente del calor latente en la transición de fase,</w:t>
      </w:r>
      <w:r>
        <w:t xml:space="preserve"> </w:t>
      </w:r>
      <m:oMath>
        <m:r>
          <m:rPr>
            <m:sty m:val="p"/>
          </m:rPr>
          <m:t>Δ</m:t>
        </m:r>
        <m:sSub>
          <m:e>
            <m:r>
              <m:t>S</m:t>
            </m:r>
          </m:e>
          <m:sub>
            <m:r>
              <m:rPr>
                <m:nor/>
                <m:sty m:val="p"/>
              </m:rPr>
              <m:t>transición</m:t>
            </m:r>
          </m:sub>
        </m:sSub>
        <m:r>
          <m:rPr>
            <m:sty m:val="p"/>
          </m:rPr>
          <m:t>=</m:t>
        </m:r>
        <m:r>
          <m:t>L</m:t>
        </m:r>
        <m:r>
          <m:rPr>
            <m:sty m:val="p"/>
          </m:rPr>
          <m:t>/</m:t>
        </m:r>
        <m:sSup>
          <m:e>
            <m:r>
              <m:t>T</m:t>
            </m:r>
          </m:e>
          <m:sup>
            <m:r>
              <m:rPr>
                <m:sty m:val="p"/>
              </m:rPr>
              <m:t>*</m:t>
            </m:r>
          </m:sup>
        </m:sSup>
      </m:oMath>
      <w:r>
        <w:t xml:space="preserve">.</w:t>
      </w:r>
    </w:p>
    <w:bookmarkEnd w:id="16"/>
    <w:bookmarkStart w:id="17" w:name="Xd8508baf8b1bffdcd3f928d3a4cb3aa2ebb9c7d"/>
    <w:p>
      <w:pPr>
        <w:pStyle w:val="Heading3"/>
      </w:pPr>
      <w:r>
        <w:t xml:space="preserve">3.6 Conexión con el Módulo 2: la entropía abre la puerta cuántica</w:t>
      </w:r>
    </w:p>
    <w:p>
      <w:pPr>
        <w:pStyle w:val="FirstParagraph"/>
      </w:pPr>
      <w:r>
        <w:t xml:space="preserve">En 1900, Planck usó precisamente la entropía de Boltzmann como herramienta para resolver el problema del cuerpo negro. La física clásica aplica equipartición a los modos electromagnéticos de una cavidad: cada modo recibe</w:t>
      </w:r>
      <w:r>
        <w:t xml:space="preserve"> </w:t>
      </w:r>
      <m:oMath>
        <m:sSub>
          <m:e>
            <m:r>
              <m:t>k</m:t>
            </m:r>
          </m:e>
          <m:sub>
            <m:r>
              <m:t>B</m:t>
            </m:r>
          </m:sub>
        </m:sSub>
        <m:r>
          <m:t>T</m:t>
        </m:r>
      </m:oMath>
      <w:r>
        <w:t xml:space="preserve">. Como hay</w:t>
      </w:r>
      <w:r>
        <w:t xml:space="preserve"> </w:t>
      </w:r>
      <m:oMath>
        <m:r>
          <m:t>8</m:t>
        </m:r>
        <m:r>
          <m:t>π</m:t>
        </m:r>
        <m:sSup>
          <m:e>
            <m:r>
              <m:t>f</m:t>
            </m:r>
          </m:e>
          <m:sup>
            <m:r>
              <m:t>2</m:t>
            </m:r>
          </m:sup>
        </m:sSup>
        <m:r>
          <m:rPr>
            <m:sty m:val="p"/>
          </m:rPr>
          <m:t>/</m:t>
        </m:r>
        <m:sSup>
          <m:e>
            <m:r>
              <m:t>c</m:t>
            </m:r>
          </m:e>
          <m:sup>
            <m:r>
              <m:t>3</m:t>
            </m:r>
          </m:sup>
        </m:sSup>
      </m:oMath>
      <w:r>
        <w:t xml:space="preserve"> </w:t>
      </w:r>
      <w:r>
        <w:t xml:space="preserve">modos por unidad de volumen y frecuencia, la energía total diverge —la catástrofe ultravioleta.</w:t>
      </w:r>
    </w:p>
    <w:p>
      <w:pPr>
        <w:pStyle w:val="BodyText"/>
      </w:pPr>
      <w:r>
        <w:t xml:space="preserve">Planck interpoló la segunda derivada</w:t>
      </w:r>
      <w:r>
        <w:t xml:space="preserve"> </w:t>
      </w:r>
      <m:oMath>
        <m:sSup>
          <m:e>
            <m:r>
              <m:rPr>
                <m:sty m:val="p"/>
              </m:rPr>
              <m:t>∂</m:t>
            </m:r>
          </m:e>
          <m:sup>
            <m:r>
              <m:t>2</m:t>
            </m:r>
          </m:sup>
        </m:sSup>
        <m:r>
          <m:t>S</m:t>
        </m:r>
        <m:r>
          <m:rPr>
            <m:sty m:val="p"/>
          </m:rPr>
          <m:t>/</m:t>
        </m:r>
        <m:r>
          <m:rPr>
            <m:sty m:val="p"/>
          </m:rPr>
          <m:t>∂</m:t>
        </m:r>
        <m:sSup>
          <m:e>
            <m:r>
              <m:t>U</m:t>
            </m:r>
          </m:e>
          <m:sup>
            <m:r>
              <m:t>2</m:t>
            </m:r>
          </m:sup>
        </m:sSup>
      </m:oMath>
      <w:r>
        <w:t xml:space="preserve"> </w:t>
      </w:r>
      <w:r>
        <w:t xml:space="preserve">entre los dos límites conocidos del espectro y fue forzado a postular que la energía de los osciladores está cuantizada:</w:t>
      </w:r>
      <w:r>
        <w:t xml:space="preserve"> </w:t>
      </w:r>
      <m:oMath>
        <m:sSub>
          <m:e>
            <m:r>
              <m:t>E</m:t>
            </m:r>
          </m:e>
          <m:sub>
            <m:r>
              <m:t>n</m:t>
            </m:r>
          </m:sub>
        </m:sSub>
        <m:r>
          <m:rPr>
            <m:sty m:val="p"/>
          </m:rPr>
          <m:t>=</m:t>
        </m:r>
        <m:r>
          <m:t>n</m:t>
        </m:r>
        <m:r>
          <m:t>h</m:t>
        </m:r>
        <m:r>
          <m:t>f</m:t>
        </m:r>
      </m:oMath>
      <w:r>
        <w:t xml:space="preserve">. El resultado es:</w:t>
      </w:r>
    </w:p>
    <w:p>
      <w:pPr>
        <w:pStyle w:val="BodyText"/>
      </w:pPr>
      <m:oMathPara>
        <m:oMathParaPr>
          <m:jc m:val="center"/>
        </m:oMathParaPr>
        <m:oMath>
          <m:r>
            <m:rPr>
              <m:sty m:val="p"/>
            </m:rPr>
            <m:t>⟨</m:t>
          </m:r>
          <m:r>
            <m:t>E</m:t>
          </m:r>
          <m:r>
            <m:rPr>
              <m:sty m:val="p"/>
            </m:rPr>
            <m:t>⟩</m:t>
          </m:r>
          <m:r>
            <m:rPr>
              <m:sty m:val="p"/>
            </m:rPr>
            <m:t>=</m:t>
          </m:r>
          <m:f>
            <m:fPr>
              <m:type m:val="bar"/>
            </m:fPr>
            <m:num>
              <m:r>
                <m:t>h</m:t>
              </m:r>
              <m:r>
                <m:t>f</m:t>
              </m:r>
            </m:num>
            <m:den>
              <m:sSup>
                <m:e>
                  <m:r>
                    <m:t>e</m:t>
                  </m:r>
                </m:e>
                <m:sup>
                  <m:r>
                    <m:t>h</m:t>
                  </m:r>
                  <m:r>
                    <m:t>f</m:t>
                  </m:r>
                  <m:r>
                    <m:rPr>
                      <m:sty m:val="p"/>
                    </m:rPr>
                    <m:t>/</m:t>
                  </m:r>
                  <m:sSub>
                    <m:e>
                      <m:r>
                        <m:t>k</m:t>
                      </m:r>
                    </m:e>
                    <m:sub>
                      <m:r>
                        <m:t>B</m:t>
                      </m:r>
                    </m:sub>
                  </m:sSub>
                  <m:r>
                    <m:t>T</m:t>
                  </m:r>
                </m:sup>
              </m:sSup>
              <m:r>
                <m:rPr>
                  <m:sty m:val="p"/>
                </m:rPr>
                <m:t>−</m:t>
              </m:r>
              <m:r>
                <m:t>1</m:t>
              </m:r>
            </m:den>
          </m:f>
          <m:r>
            <m:rPr>
              <m:sty m:val="p"/>
            </m:rPr>
            <m:t>,</m:t>
          </m:r>
        </m:oMath>
      </m:oMathPara>
    </w:p>
    <w:p>
      <w:pPr>
        <w:pStyle w:val="FirstParagraph"/>
      </w:pPr>
      <w:r>
        <w:t xml:space="preserve">que a bajas frecuencias recupera</w:t>
      </w:r>
      <w:r>
        <w:t xml:space="preserve"> </w:t>
      </w:r>
      <m:oMath>
        <m:sSub>
          <m:e>
            <m:r>
              <m:t>k</m:t>
            </m:r>
          </m:e>
          <m:sub>
            <m:r>
              <m:t>B</m:t>
            </m:r>
          </m:sub>
        </m:sSub>
        <m:r>
          <m:t>T</m:t>
        </m:r>
      </m:oMath>
      <w:r>
        <w:t xml:space="preserve"> </w:t>
      </w:r>
      <w:r>
        <w:t xml:space="preserve">(resultado clásico) y a altas frecuencias suprime la divergencia exponencialmente. La constante</w:t>
      </w:r>
      <w:r>
        <w:t xml:space="preserve"> </w:t>
      </w:r>
      <m:oMath>
        <m:r>
          <m:t>h</m:t>
        </m:r>
      </m:oMath>
      <w:r>
        <w:t xml:space="preserve"> </w:t>
      </w:r>
      <w:r>
        <w:t xml:space="preserve">que aparece en la fórmula de Sackur–Tetrode es la misma que define el cuanto de energía del fotón: la termodinámica del siglo XIX engendró la física cuántica del siglo XX.</w:t>
      </w:r>
    </w:p>
    <w:p>
      <w:r>
        <w:pict>
          <v:rect style="width:0;height:1.5pt" o:hralign="center" o:hrstd="t" o:hr="t"/>
        </w:pict>
      </w:r>
    </w:p>
    <w:bookmarkEnd w:id="17"/>
    <w:bookmarkEnd w:id="18"/>
    <w:bookmarkStart w:id="19" w:name="conclusión"/>
    <w:p>
      <w:pPr>
        <w:pStyle w:val="Heading2"/>
      </w:pPr>
      <w:r>
        <w:t xml:space="preserve">4. Conclusión</w:t>
      </w:r>
    </w:p>
    <w:p>
      <w:pPr>
        <w:pStyle w:val="FirstParagraph"/>
      </w:pPr>
      <w:r>
        <w:t xml:space="preserve">La entropía es el hilo que conecta la termodinámica macroscópica con la física microscópica. Clausius la definió como variable de estado; Boltzmann la interpretó como logaritmo del número de microestados; la paradoja de Gibbs reveló que ese conteo exige la indistinguibilidad cuántica de las partículas; Sackur y Tetrode calcularon el resultado correcto, que contiene la constante de Planck. El gas de Van der Waals muestra que la entropía es sensible a la estructura molecular: el volumen excluido reduce el espacio de microestados, y las transiciones de fase son saltos discretos en ese espacio.</w:t>
      </w:r>
    </w:p>
    <w:p>
      <w:pPr>
        <w:pStyle w:val="BodyText"/>
      </w:pPr>
      <w:r>
        <w:t xml:space="preserve">El mensaje más profundo del módulo es que la física clásica no era un edificio terminado: sus propias herramientas —especialmente la entropía— señalaban sus límites. Quedan abiertas preguntas fundamentales: ¿cómo generalizar la fórmula de Sackur–Tetrode a gases cuánticos a bajas temperaturas? ¿Cómo se comporta la entropía en la región crítica del gas de Van der Waals, donde las fluctuaciones divergen? Estas preguntas son el punto de partida natural del Módulo 2.</w:t>
      </w:r>
    </w:p>
    <w:p>
      <w:r>
        <w:pict>
          <v:rect style="width:0;height:1.5pt" o:hralign="center" o:hrstd="t" o:hr="t"/>
        </w:pict>
      </w:r>
    </w:p>
    <w:bookmarkEnd w:id="19"/>
    <w:bookmarkStart w:id="20" w:name="cinco-preguntas-originales"/>
    <w:p>
      <w:pPr>
        <w:pStyle w:val="Heading2"/>
      </w:pPr>
      <w:r>
        <w:t xml:space="preserve">5. Cinco preguntas originales</w:t>
      </w:r>
    </w:p>
    <w:p>
      <w:pPr>
        <w:pStyle w:val="FirstParagraph"/>
      </w:pPr>
      <w:r>
        <w:rPr>
          <w:b/>
          <w:bCs/>
        </w:rPr>
        <w:t xml:space="preserve">1.</w:t>
      </w:r>
      <w:r>
        <w:t xml:space="preserve"> </w:t>
      </w:r>
      <w:r>
        <w:t xml:space="preserve">La fórmula de Sackur–Tetrode predice</w:t>
      </w:r>
      <w:r>
        <w:t xml:space="preserve"> </w:t>
      </w:r>
      <m:oMath>
        <m:r>
          <m:t>S</m:t>
        </m:r>
        <m:r>
          <m:rPr>
            <m:sty m:val="p"/>
          </m:rPr>
          <m:t>→</m:t>
        </m:r>
        <m:r>
          <m:rPr>
            <m:sty m:val="p"/>
          </m:rPr>
          <m:t>−</m:t>
        </m:r>
        <m:r>
          <m:rPr>
            <m:sty m:val="p"/>
          </m:rPr>
          <m:t>∞</m:t>
        </m:r>
      </m:oMath>
      <w:r>
        <w:t xml:space="preserve"> </w:t>
      </w:r>
      <w:r>
        <w:t xml:space="preserve">cuando</w:t>
      </w:r>
      <w:r>
        <w:t xml:space="preserve"> </w:t>
      </w:r>
      <m:oMath>
        <m:r>
          <m:t>T</m:t>
        </m:r>
        <m:r>
          <m:rPr>
            <m:sty m:val="p"/>
          </m:rPr>
          <m:t>→</m:t>
        </m:r>
        <m:r>
          <m:t>0</m:t>
        </m:r>
      </m:oMath>
      <w:r>
        <w:t xml:space="preserve">, en aparente contradicción con la tercera ley de la termodinámica (</w:t>
      </w:r>
      <m:oMath>
        <m:r>
          <m:t>S</m:t>
        </m:r>
        <m:r>
          <m:rPr>
            <m:sty m:val="p"/>
          </m:rPr>
          <m:t>→</m:t>
        </m:r>
        <m:r>
          <m:t>0</m:t>
        </m:r>
      </m:oMath>
      <w:r>
        <w:t xml:space="preserve"> </w:t>
      </w:r>
      <w:r>
        <w:t xml:space="preserve">cuando</w:t>
      </w:r>
      <w:r>
        <w:t xml:space="preserve"> </w:t>
      </w:r>
      <m:oMath>
        <m:r>
          <m:t>T</m:t>
        </m:r>
        <m:r>
          <m:rPr>
            <m:sty m:val="p"/>
          </m:rPr>
          <m:t>→</m:t>
        </m:r>
        <m:r>
          <m:t>0</m:t>
        </m:r>
      </m:oMath>
      <w:r>
        <w:t xml:space="preserve">). ¿Qué hipótesis del modelo falla a temperatura muy baja y qué corrección cuántica resuelve la discrepancia?</w:t>
      </w:r>
    </w:p>
    <w:p>
      <w:pPr>
        <w:pStyle w:val="BodyText"/>
      </w:pPr>
      <w:r>
        <w:rPr>
          <w:b/>
          <w:bCs/>
        </w:rPr>
        <w:t xml:space="preserve">2.</w:t>
      </w:r>
      <w:r>
        <w:t xml:space="preserve"> </w:t>
      </w:r>
      <w:r>
        <w:t xml:space="preserve">En el gas de Van der Waals, el parámetro</w:t>
      </w:r>
      <w:r>
        <w:t xml:space="preserve"> </w:t>
      </w:r>
      <m:oMath>
        <m:r>
          <m:t>a</m:t>
        </m:r>
      </m:oMath>
      <w:r>
        <w:t xml:space="preserve"> </w:t>
      </w:r>
      <w:r>
        <w:t xml:space="preserve">no aparece en la expresión de la entropía pero sí en la energía interna. Construya un proceso en un gas de Van der Waals con</w:t>
      </w:r>
      <w:r>
        <w:t xml:space="preserve"> </w:t>
      </w:r>
      <m:oMath>
        <m:r>
          <m:rPr>
            <m:sty m:val="p"/>
          </m:rPr>
          <m:t>Δ</m:t>
        </m:r>
        <m:r>
          <m:t>S</m:t>
        </m:r>
        <m:r>
          <m:rPr>
            <m:sty m:val="p"/>
          </m:rPr>
          <m:t>=</m:t>
        </m:r>
        <m:r>
          <m:t>0</m:t>
        </m:r>
      </m:oMath>
      <w:r>
        <w:t xml:space="preserve"> </w:t>
      </w:r>
      <w:r>
        <w:t xml:space="preserve">y</w:t>
      </w:r>
      <w:r>
        <w:t xml:space="preserve"> </w:t>
      </w:r>
      <m:oMath>
        <m:r>
          <m:rPr>
            <m:sty m:val="p"/>
          </m:rPr>
          <m:t>Δ</m:t>
        </m:r>
        <m:r>
          <m:t>U</m:t>
        </m:r>
        <m:r>
          <m:rPr>
            <m:sty m:val="p"/>
          </m:rPr>
          <m:t>≠</m:t>
        </m:r>
        <m:r>
          <m:t>0</m:t>
        </m:r>
      </m:oMath>
      <w:r>
        <w:t xml:space="preserve"> </w:t>
      </w:r>
      <w:r>
        <w:t xml:space="preserve">simultáneamente. ¿Qué trabajo se realiza en ese proceso?</w:t>
      </w:r>
    </w:p>
    <w:p>
      <w:pPr>
        <w:pStyle w:val="BodyText"/>
      </w:pPr>
      <w:r>
        <w:rPr>
          <w:b/>
          <w:bCs/>
        </w:rPr>
        <w:t xml:space="preserve">3.</w:t>
      </w:r>
      <w:r>
        <w:t xml:space="preserve"> </w:t>
      </w:r>
      <w:r>
        <w:t xml:space="preserve">Demuestre que la regla de las áreas de Maxwell (condición de coexistencia de fases) es equivalente a exigir que la energía libre de Gibbs</w:t>
      </w:r>
      <w:r>
        <w:t xml:space="preserve"> </w:t>
      </w:r>
      <m:oMath>
        <m:r>
          <m:t>G</m:t>
        </m:r>
        <m:r>
          <m:rPr>
            <m:sty m:val="p"/>
          </m:rPr>
          <m:t>=</m:t>
        </m:r>
        <m:r>
          <m:t>U</m:t>
        </m:r>
        <m:r>
          <m:rPr>
            <m:sty m:val="p"/>
          </m:rPr>
          <m:t>−</m:t>
        </m:r>
        <m:r>
          <m:t>T</m:t>
        </m:r>
        <m:r>
          <m:t>S</m:t>
        </m:r>
        <m:r>
          <m:rPr>
            <m:sty m:val="p"/>
          </m:rPr>
          <m:t>+</m:t>
        </m:r>
        <m:r>
          <m:t>P</m:t>
        </m:r>
        <m:r>
          <m:t>V</m:t>
        </m:r>
      </m:oMath>
      <w:r>
        <w:t xml:space="preserve"> </w:t>
      </w:r>
      <w:r>
        <w:t xml:space="preserve">sea igual en las dos fases coexistentes.</w:t>
      </w:r>
    </w:p>
    <w:p>
      <w:pPr>
        <w:pStyle w:val="BodyText"/>
      </w:pPr>
      <w:r>
        <w:rPr>
          <w:b/>
          <w:bCs/>
        </w:rPr>
        <w:t xml:space="preserve">4.</w:t>
      </w:r>
      <w:r>
        <w:t xml:space="preserve"> </w:t>
      </w:r>
      <w:r>
        <w:t xml:space="preserve">La ley de Rayleigh-Jeans y el gas ideal comparten la misma raíz: la equipartición aplicada a un sistema con muchos grados de libertad. ¿En qué sentido es la catástrofe ultravioleta una</w:t>
      </w:r>
      <w:r>
        <w:t xml:space="preserve"> </w:t>
      </w:r>
      <w:r>
        <w:t xml:space="preserve">“paradoja de Gibbs del campo electromagnético”</w:t>
      </w:r>
      <w:r>
        <w:t xml:space="preserve">? Señale la analogía estructural y el tipo de corrección que cada una requiere.</w:t>
      </w:r>
    </w:p>
    <w:p>
      <w:pPr>
        <w:pStyle w:val="BodyText"/>
      </w:pPr>
      <w:r>
        <w:rPr>
          <w:b/>
          <w:bCs/>
        </w:rPr>
        <w:t xml:space="preserve">5.</w:t>
      </w:r>
      <w:r>
        <w:t xml:space="preserve"> </w:t>
      </w:r>
      <w:r>
        <w:t xml:space="preserve">Con los datos</w:t>
      </w:r>
      <w:r>
        <w:t xml:space="preserve"> </w:t>
      </w:r>
      <m:oMath>
        <m:sSub>
          <m:e>
            <m:r>
              <m:t>m</m:t>
            </m:r>
          </m:e>
          <m:sub>
            <m:r>
              <m:rPr>
                <m:nor/>
                <m:sty m:val="p"/>
              </m:rPr>
              <m:t>Ar</m:t>
            </m:r>
          </m:sub>
        </m:sSub>
        <m:r>
          <m:rPr>
            <m:sty m:val="p"/>
          </m:rPr>
          <m:t>=</m:t>
        </m:r>
        <m:r>
          <m:t>39.95</m:t>
        </m:r>
        <m:r>
          <m:t> </m:t>
        </m:r>
        <m:r>
          <m:rPr>
            <m:nor/>
            <m:sty m:val="p"/>
          </m:rPr>
          <m:t>u</m:t>
        </m:r>
      </m:oMath>
      <w:r>
        <w:t xml:space="preserve">,</w:t>
      </w:r>
      <w:r>
        <w:t xml:space="preserve"> </w:t>
      </w:r>
      <m:oMath>
        <m:r>
          <m:t>T</m:t>
        </m:r>
        <m:r>
          <m:rPr>
            <m:sty m:val="p"/>
          </m:rPr>
          <m:t>=</m:t>
        </m:r>
        <m:r>
          <m:t>298</m:t>
        </m:r>
        <m:r>
          <m:t> </m:t>
        </m:r>
        <m:r>
          <m:rPr>
            <m:nor/>
            <m:sty m:val="p"/>
          </m:rPr>
          <m:t>K</m:t>
        </m:r>
      </m:oMath>
      <w:r>
        <w:t xml:space="preserve">,</w:t>
      </w:r>
      <w:r>
        <w:t xml:space="preserve"> </w:t>
      </w:r>
      <m:oMath>
        <m:r>
          <m:t>P</m:t>
        </m:r>
        <m:r>
          <m:rPr>
            <m:sty m:val="p"/>
          </m:rPr>
          <m:t>=</m:t>
        </m:r>
        <m:r>
          <m:t>101</m:t>
        </m:r>
        <m:r>
          <m:t> </m:t>
        </m:r>
        <m:r>
          <m:t>325</m:t>
        </m:r>
        <m:r>
          <m:t> </m:t>
        </m:r>
        <m:r>
          <m:rPr>
            <m:nor/>
            <m:sty m:val="p"/>
          </m:rPr>
          <m:t>Pa</m:t>
        </m:r>
      </m:oMath>
      <w:r>
        <w:t xml:space="preserve">, calcule la entropía molar del argón usando la fórmula de Sackur–Tetrode. El valor experimental es</w:t>
      </w:r>
      <w:r>
        <w:t xml:space="preserve"> </w:t>
      </w:r>
      <m:oMath>
        <m:r>
          <m:t>154.8</m:t>
        </m:r>
        <m:r>
          <m:t> </m:t>
        </m:r>
        <m:r>
          <m:rPr>
            <m:nor/>
            <m:sty m:val="p"/>
          </m:rPr>
          <m:t>J/(mol·K)</m:t>
        </m:r>
      </m:oMath>
      <w:r>
        <w:t xml:space="preserve">. ¿Qué conclusión se extrae del acuerdo o desacuerdo entre ambos valores?</w:t>
      </w:r>
    </w:p>
    <w:p>
      <w:r>
        <w:pict>
          <v:rect style="width:0;height:1.5pt" o:hralign="center" o:hrstd="t" o:hr="t"/>
        </w:pict>
      </w:r>
    </w:p>
    <w:bookmarkEnd w:id="20"/>
    <w:bookmarkStart w:id="21" w:name="referencias-bibliográficas"/>
    <w:p>
      <w:pPr>
        <w:pStyle w:val="Heading2"/>
      </w:pPr>
      <w:r>
        <w:t xml:space="preserve">6. Referencias bibliográficas</w:t>
      </w:r>
    </w:p>
    <w:p>
      <w:pPr>
        <w:pStyle w:val="FirstParagraph"/>
      </w:pPr>
      <w:r>
        <w:rPr>
          <w:b/>
          <w:bCs/>
        </w:rPr>
        <w:t xml:space="preserve">Artículos originales</w:t>
      </w:r>
      <w:r>
        <w:t xml:space="preserve"> </w:t>
      </w:r>
      <w:r>
        <w:t xml:space="preserve">- Clausius, R. (1865). Annalen der Physik, 125, 353–400.</w:t>
      </w:r>
      <w:r>
        <w:t xml:space="preserve"> </w:t>
      </w:r>
      <w:r>
        <w:t xml:space="preserve">- Boltzmann, L. (1877). Sitzungsberichte der Akademie der Wissenschaften, 76, 373–435.</w:t>
      </w:r>
      <w:r>
        <w:t xml:space="preserve"> </w:t>
      </w:r>
      <w:r>
        <w:t xml:space="preserve">- Van der Waals, J. D. (1873). Tesis doctoral, Universidad de Leiden.</w:t>
      </w:r>
      <w:r>
        <w:t xml:space="preserve"> </w:t>
      </w:r>
      <w:r>
        <w:t xml:space="preserve">- Sackur, O. (1911). Annalen der Physik, 36, 958–980.</w:t>
      </w:r>
      <w:r>
        <w:t xml:space="preserve"> </w:t>
      </w:r>
      <w:r>
        <w:t xml:space="preserve">- Tetrode, H. (1912). Annalen der Physik, 38, 434–442.</w:t>
      </w:r>
      <w:r>
        <w:t xml:space="preserve"> </w:t>
      </w:r>
      <w:r>
        <w:t xml:space="preserve">- Planck, M. (1900). Verhandlungen der Deutschen Physikalischen Gesellschaft, 2, 237–245.</w:t>
      </w:r>
    </w:p>
    <w:p>
      <w:pPr>
        <w:pStyle w:val="BodyText"/>
      </w:pPr>
      <w:r>
        <w:rPr>
          <w:b/>
          <w:bCs/>
        </w:rPr>
        <w:t xml:space="preserve">Texto del curso</w:t>
      </w:r>
      <w:r>
        <w:t xml:space="preserve"> </w:t>
      </w:r>
      <w:r>
        <w:t xml:space="preserve">- Weinberg, S. (2021).</w:t>
      </w:r>
      <w:r>
        <w:t xml:space="preserve"> </w:t>
      </w:r>
      <w:r>
        <w:rPr>
          <w:i/>
          <w:iCs/>
        </w:rPr>
        <w:t xml:space="preserve">Foundations of Modern Physics</w:t>
      </w:r>
      <w:r>
        <w:t xml:space="preserve">. Cambridge University Press.</w:t>
      </w:r>
    </w:p>
    <w:p>
      <w:pPr>
        <w:pStyle w:val="BodyText"/>
      </w:pPr>
      <w:r>
        <w:rPr>
          <w:b/>
          <w:bCs/>
        </w:rPr>
        <w:t xml:space="preserve">Textos universitarios</w:t>
      </w:r>
      <w:r>
        <w:t xml:space="preserve"> </w:t>
      </w:r>
      <w:r>
        <w:t xml:space="preserve">- Callen, H. B. (1985).</w:t>
      </w:r>
      <w:r>
        <w:t xml:space="preserve"> </w:t>
      </w:r>
      <w:r>
        <w:rPr>
          <w:i/>
          <w:iCs/>
        </w:rPr>
        <w:t xml:space="preserve">Thermodynamics and an Introduction to Thermostatistics</w:t>
      </w:r>
      <w:r>
        <w:t xml:space="preserve"> </w:t>
      </w:r>
      <w:r>
        <w:t xml:space="preserve">(2ª ed.). Wiley.</w:t>
      </w:r>
      <w:r>
        <w:t xml:space="preserve"> </w:t>
      </w:r>
      <w:r>
        <w:t xml:space="preserve">- Reif, F. (1965).</w:t>
      </w:r>
      <w:r>
        <w:t xml:space="preserve"> </w:t>
      </w:r>
      <w:r>
        <w:rPr>
          <w:i/>
          <w:iCs/>
        </w:rPr>
        <w:t xml:space="preserve">Fundamentals of Statistical and Thermal Physics</w:t>
      </w:r>
      <w:r>
        <w:t xml:space="preserve">. McGraw-Hill.</w:t>
      </w:r>
      <w:r>
        <w:t xml:space="preserve"> </w:t>
      </w:r>
      <w:r>
        <w:t xml:space="preserve">- Kittel, C., &amp; Kroemer, H. (1980).</w:t>
      </w:r>
      <w:r>
        <w:t xml:space="preserve"> </w:t>
      </w:r>
      <w:r>
        <w:rPr>
          <w:i/>
          <w:iCs/>
        </w:rPr>
        <w:t xml:space="preserve">Thermal Physics</w:t>
      </w:r>
      <w:r>
        <w:t xml:space="preserve"> </w:t>
      </w:r>
      <w:r>
        <w:t xml:space="preserve">(2ª ed.). Freeman.</w:t>
      </w:r>
    </w:p>
    <w:p>
      <w:pPr>
        <w:pStyle w:val="BodyText"/>
      </w:pPr>
      <w:r>
        <w:rPr>
          <w:b/>
          <w:bCs/>
        </w:rPr>
        <w:t xml:space="preserve">Recursos abiertos</w:t>
      </w:r>
      <w:r>
        <w:t xml:space="preserve"> </w:t>
      </w:r>
      <w:r>
        <w:t xml:space="preserve">- Feynman, R. P. et al. (1963).</w:t>
      </w:r>
      <w:r>
        <w:t xml:space="preserve"> </w:t>
      </w:r>
      <w:r>
        <w:rPr>
          <w:i/>
          <w:iCs/>
        </w:rPr>
        <w:t xml:space="preserve">The Feynman Lectures on Physics</w:t>
      </w:r>
      <w:r>
        <w:t xml:space="preserve">, Vol. I, caps. 40–44. feynmanlectures.caltech.edu</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2026-07-14T02:35:45Z</dcterms:created>
  <dcterms:modified xsi:type="dcterms:W3CDTF">2026-07-14T02:35:45Z</dcterms:modified>
</cp:coreProperties>
</file>

<file path=docProps/custom.xml><?xml version="1.0" encoding="utf-8"?>
<Properties xmlns="http://schemas.openxmlformats.org/officeDocument/2006/custom-properties" xmlns:vt="http://schemas.openxmlformats.org/officeDocument/2006/docPropsVTypes"/>
</file>