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e03a4f33390f3298de16f651925dc2559889b7a"/>
    <w:p>
      <w:pPr>
        <w:pStyle w:val="Heading1"/>
      </w:pPr>
      <w:r>
        <w:t xml:space="preserve">Análisis de la Obra:</w:t>
      </w:r>
      <w:r>
        <w:t xml:space="preserve"> </w:t>
      </w:r>
      <w:r>
        <w:rPr>
          <w:i/>
          <w:iCs/>
        </w:rPr>
        <w:t xml:space="preserve">Foundations of Modern Physics</w:t>
      </w:r>
      <w:r>
        <w:t xml:space="preserve"> </w:t>
      </w:r>
      <w:r>
        <w:t xml:space="preserve">de Steven Weinberg</w:t>
      </w:r>
    </w:p>
    <w:bookmarkStart w:id="9" w:name="introducción-y-contexto-de-la-obra"/>
    <w:p>
      <w:pPr>
        <w:pStyle w:val="Heading2"/>
      </w:pPr>
      <w:r>
        <w:t xml:space="preserve">1. Introducción y Contexto de la Obra</w:t>
      </w:r>
    </w:p>
    <w:p>
      <w:pPr>
        <w:pStyle w:val="FirstParagraph"/>
      </w:pPr>
      <w:r>
        <w:rPr>
          <w:i/>
          <w:iCs/>
        </w:rPr>
        <w:t xml:space="preserve">Foundations of Modern Physics</w:t>
      </w:r>
      <w:r>
        <w:t xml:space="preserve"> </w:t>
      </w:r>
      <w:r>
        <w:t xml:space="preserve">(Cambridge University Press, 2021) del laureado Premio Nobel Steven Weinberg no es un libro de texto de física moderno convencional. A diferencia de las aproximaciones estrictamente axiomáticas o axiomático-deductivas (como Landau o Dirac), Weinberg adopta un enfoque fuertemente fundamentado en la historia y en el desarrollo epistemológico de las ideas físicas.</w:t>
      </w:r>
    </w:p>
    <w:p>
      <w:pPr>
        <w:pStyle w:val="BodyText"/>
      </w:pPr>
      <w:r>
        <w:t xml:space="preserve">El propósito subyacente del libro es demostrar que las extravagantes matemáticas y contraintuitivos postulados de la Mecánica Cuántica, la Relatividad y la Teoría Cuántica de Campos no nacieron en un vacío especulativo, sino que emergieron orgánicamente como la única solución inevitable frente al abrumador cuerpo de evidencia experimental y paradojas teóricas dejadas por la física clásica (Termodinámica y Teoría Atómica Temprana).</w:t>
      </w:r>
    </w:p>
    <w:bookmarkEnd w:id="9"/>
    <w:bookmarkStart w:id="16" w:name="X716c591aadd4b9ceb5f69465437af2ce39aec64"/>
    <w:p>
      <w:pPr>
        <w:pStyle w:val="Heading2"/>
      </w:pPr>
      <w:r>
        <w:t xml:space="preserve">2. Análisis Estructural y Progresión Temática</w:t>
      </w:r>
    </w:p>
    <w:bookmarkStart w:id="10" w:name="X9b95becbc140acb3026ee078384b462368a7b61"/>
    <w:p>
      <w:pPr>
        <w:pStyle w:val="Heading3"/>
      </w:pPr>
      <w:r>
        <w:t xml:space="preserve">Capítulo 1: Early Atomic Theory (Teoría Atómica Temprana)</w:t>
      </w:r>
    </w:p>
    <w:p>
      <w:pPr>
        <w:pStyle w:val="FirstParagraph"/>
      </w:pPr>
      <w:r>
        <w:t xml:space="preserve">El libro inicia con la génesis empírica del atomismo. En lugar de postular átomos, Weinberg examina las</w:t>
      </w:r>
      <w:r>
        <w:t xml:space="preserve"> </w:t>
      </w:r>
      <w:r>
        <w:rPr>
          <w:b/>
          <w:bCs/>
        </w:rPr>
        <w:t xml:space="preserve">Leyes de los Gases</w:t>
      </w:r>
      <w:r>
        <w:t xml:space="preserve"> </w:t>
      </w:r>
      <w:r>
        <w:t xml:space="preserve">(Boyle, Charles) y la</w:t>
      </w:r>
      <w:r>
        <w:t xml:space="preserve"> </w:t>
      </w:r>
      <w:r>
        <w:rPr>
          <w:b/>
          <w:bCs/>
        </w:rPr>
        <w:t xml:space="preserve">Química Cuantitativa</w:t>
      </w:r>
      <w:r>
        <w:t xml:space="preserve"> </w:t>
      </w:r>
      <w:r>
        <w:t xml:space="preserve">(Leyes de Combinación de Dalton y Avogadro). Aquí se destaca cómo la materia discreta resuelve la estequiometría química. Posteriormente, vincula esto con la</w:t>
      </w:r>
      <w:r>
        <w:t xml:space="preserve"> </w:t>
      </w:r>
      <w:r>
        <w:rPr>
          <w:b/>
          <w:bCs/>
        </w:rPr>
        <w:t xml:space="preserve">Electrólisis de Faraday</w:t>
      </w:r>
      <w:r>
        <w:t xml:space="preserve"> </w:t>
      </w:r>
      <w:r>
        <w:t xml:space="preserve">y el descubrimiento del</w:t>
      </w:r>
      <w:r>
        <w:t xml:space="preserve"> </w:t>
      </w:r>
      <w:r>
        <w:rPr>
          <w:b/>
          <w:bCs/>
        </w:rPr>
        <w:t xml:space="preserve">Electrón</w:t>
      </w:r>
      <w:r>
        <w:t xml:space="preserve"> </w:t>
      </w:r>
      <w:r>
        <w:t xml:space="preserve">por J.J. Thomson, evidenciando que el propio átomo tiene estructura interna cuantizada.</w:t>
      </w:r>
    </w:p>
    <w:bookmarkEnd w:id="10"/>
    <w:bookmarkStart w:id="11" w:name="X419b8c66e95cc5baeb369ffb1e3ecbcd7dbfa63"/>
    <w:p>
      <w:pPr>
        <w:pStyle w:val="Heading3"/>
      </w:pPr>
      <w:r>
        <w:t xml:space="preserve">Capítulo 2: Thermodynamics and Kinetic Theory (Termodinámica y Teoría Cinética)</w:t>
      </w:r>
    </w:p>
    <w:p>
      <w:pPr>
        <w:pStyle w:val="FirstParagraph"/>
      </w:pPr>
      <w:r>
        <w:t xml:space="preserve">Weinberg consolida el puente entre el mundo macroscópico continuo y el microscópico discreto. La evolución desde la caída de la</w:t>
      </w:r>
      <w:r>
        <w:t xml:space="preserve"> </w:t>
      </w:r>
      <w:r>
        <w:rPr>
          <w:i/>
          <w:iCs/>
        </w:rPr>
        <w:t xml:space="preserve">Teoría del Calórico</w:t>
      </w:r>
      <w:r>
        <w:t xml:space="preserve"> </w:t>
      </w:r>
      <w:r>
        <w:t xml:space="preserve">hacia el calor como energía cinética permite definir rigurosamente la</w:t>
      </w:r>
      <w:r>
        <w:t xml:space="preserve"> </w:t>
      </w:r>
      <w:r>
        <w:rPr>
          <w:b/>
          <w:bCs/>
        </w:rPr>
        <w:t xml:space="preserve">Temperatura Absoluta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Entropía</w:t>
      </w:r>
      <w:r>
        <w:t xml:space="preserve"> </w:t>
      </w:r>
      <w:r>
        <w:t xml:space="preserve">a través del Ciclo de Carnot. A nivel de escrutinio, Weinberg es particular en enfatizar cómo los</w:t>
      </w:r>
      <w:r>
        <w:t xml:space="preserve"> </w:t>
      </w:r>
      <w:r>
        <w:rPr>
          <w:b/>
          <w:bCs/>
        </w:rPr>
        <w:t xml:space="preserve">Fenómenos de Transporte</w:t>
      </w:r>
      <w:r>
        <w:t xml:space="preserve"> </w:t>
      </w:r>
      <w:r>
        <w:t xml:space="preserve">(viscosidad, difusión, camino libre medio) y el</w:t>
      </w:r>
      <w:r>
        <w:t xml:space="preserve"> </w:t>
      </w:r>
      <w:r>
        <w:rPr>
          <w:b/>
          <w:bCs/>
        </w:rPr>
        <w:t xml:space="preserve">Movimiento Browniano</w:t>
      </w:r>
      <w:r>
        <w:t xml:space="preserve"> </w:t>
      </w:r>
      <w:r>
        <w:t xml:space="preserve">constituyeron la evidencia incontestable y final de la realidad de las escalas atómicas, algo fundamental previo al asalto de la cuántica.</w:t>
      </w:r>
    </w:p>
    <w:bookmarkEnd w:id="11"/>
    <w:bookmarkStart w:id="12" w:name="X1d89cb80591493d29b9d18659c12a533483b6c7"/>
    <w:p>
      <w:pPr>
        <w:pStyle w:val="Heading3"/>
      </w:pPr>
      <w:r>
        <w:t xml:space="preserve">Capítulo 3: Early Quantum Theory (Teoría Cuántica Temprana)</w:t>
      </w:r>
    </w:p>
    <w:p>
      <w:pPr>
        <w:pStyle w:val="FirstParagraph"/>
      </w:pPr>
      <w:r>
        <w:t xml:space="preserve">Entrando en la crisis clásica, se examinan las fallas analíticas frente al comportamiento de la radiación (catástrofe ultravioleta mitigada por Planck), el</w:t>
      </w:r>
      <w:r>
        <w:t xml:space="preserve"> </w:t>
      </w:r>
      <w:r>
        <w:rPr>
          <w:b/>
          <w:bCs/>
        </w:rPr>
        <w:t xml:space="preserve">Efecto Fotoeléctrico</w:t>
      </w:r>
      <w:r>
        <w:t xml:space="preserve"> </w:t>
      </w:r>
      <w:r>
        <w:t xml:space="preserve">(los fotones de Einstein), y el modelo atómico (Rutherford, Bohr). El análisis demuestra cómo la dualidad onda-partícula se vuelve insorteable y cómo los niveles discretos de energía se infirieron espectroscópicamente antes de ser rigurosamente comprendidos.</w:t>
      </w:r>
    </w:p>
    <w:bookmarkEnd w:id="12"/>
    <w:bookmarkStart w:id="13" w:name="capítulo-4-relativity-relatividad"/>
    <w:p>
      <w:pPr>
        <w:pStyle w:val="Heading3"/>
      </w:pPr>
      <w:r>
        <w:t xml:space="preserve">Capítulo 4: Relativity (Relatividad)</w:t>
      </w:r>
    </w:p>
    <w:p>
      <w:pPr>
        <w:pStyle w:val="FirstParagraph"/>
      </w:pPr>
      <w:r>
        <w:t xml:space="preserve">En lugar de una aproximación geométrica pura (a lo Minkowski), Weinberg narra la génesis electrodinámica de la relatividad, desde las ecuaciones de Maxwell y el fracaso del éter en el experimento de Michelson-Morley, hasta las consecuencias dinámicas (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 y el problema de la causalidad universal.</w:t>
      </w:r>
    </w:p>
    <w:bookmarkEnd w:id="13"/>
    <w:bookmarkStart w:id="14" w:name="X2cf0bf1767ba7ca1ef1e8aed63abf49911097c9"/>
    <w:p>
      <w:pPr>
        <w:pStyle w:val="Heading3"/>
      </w:pPr>
      <w:r>
        <w:t xml:space="preserve">Capítulo 5: Quantum Mechanics (Mecánica Cuántica)</w:t>
      </w:r>
    </w:p>
    <w:p>
      <w:pPr>
        <w:pStyle w:val="FirstParagraph"/>
      </w:pPr>
      <w:r>
        <w:t xml:space="preserve">El núcleo del libro formaliza la revolución. Inicia desde las</w:t>
      </w:r>
      <w:r>
        <w:t xml:space="preserve"> </w:t>
      </w:r>
      <w:r>
        <w:rPr>
          <w:b/>
          <w:bCs/>
        </w:rPr>
        <w:t xml:space="preserve">Ondas de De Broglie</w:t>
      </w:r>
      <w:r>
        <w:t xml:space="preserve"> </w:t>
      </w:r>
      <w:r>
        <w:t xml:space="preserve">hasta la</w:t>
      </w:r>
      <w:r>
        <w:t xml:space="preserve"> </w:t>
      </w:r>
      <w:r>
        <w:rPr>
          <w:b/>
          <w:bCs/>
        </w:rPr>
        <w:t xml:space="preserve">Ecuación de Schrödinger</w:t>
      </w:r>
      <w:r>
        <w:t xml:space="preserve">. Weinberg es excepcional introduciendo los fundamentos espaciales abstractos (operadores, escalares) y aterrizándolos luego sobre problemas físicos como el</w:t>
      </w:r>
      <w:r>
        <w:t xml:space="preserve"> </w:t>
      </w:r>
      <w:r>
        <w:rPr>
          <w:b/>
          <w:bCs/>
        </w:rPr>
        <w:t xml:space="preserve">Átomo Hidrogenoide</w:t>
      </w:r>
      <w:r>
        <w:t xml:space="preserve">, el formalismo del</w:t>
      </w:r>
      <w:r>
        <w:t xml:space="preserve"> </w:t>
      </w:r>
      <w:r>
        <w:rPr>
          <w:b/>
          <w:bCs/>
        </w:rPr>
        <w:t xml:space="preserve">Espín</w:t>
      </w:r>
      <w:r>
        <w:t xml:space="preserve"> </w:t>
      </w:r>
      <w:r>
        <w:t xml:space="preserve">(su naturaleza puramente cuántica), las distribuciones estadísticas de Bosones y Fermiones (Principio de Exclusión de Pauli) y las</w:t>
      </w:r>
      <w:r>
        <w:t xml:space="preserve"> </w:t>
      </w:r>
      <w:r>
        <w:rPr>
          <w:b/>
          <w:bCs/>
        </w:rPr>
        <w:t xml:space="preserve">Teorías de Dispersión</w:t>
      </w:r>
      <w:r>
        <w:t xml:space="preserve"> </w:t>
      </w:r>
      <w:r>
        <w:t xml:space="preserve">y de</w:t>
      </w:r>
      <w:r>
        <w:t xml:space="preserve"> </w:t>
      </w:r>
      <w:r>
        <w:rPr>
          <w:b/>
          <w:bCs/>
        </w:rPr>
        <w:t xml:space="preserve">Perturbaciones</w:t>
      </w:r>
      <w:r>
        <w:t xml:space="preserve">.</w:t>
      </w:r>
    </w:p>
    <w:bookmarkEnd w:id="14"/>
    <w:bookmarkStart w:id="15" w:name="Xb2b9f10b115b8e016b01f398ac650b492e40e30"/>
    <w:p>
      <w:pPr>
        <w:pStyle w:val="Heading3"/>
      </w:pPr>
      <w:r>
        <w:t xml:space="preserve">Capítulos 6 y 7: Nuclear Physics &amp; Quantum Field Theory</w:t>
      </w:r>
    </w:p>
    <w:p>
      <w:pPr>
        <w:pStyle w:val="FirstParagraph"/>
      </w:pPr>
      <w:r>
        <w:t xml:space="preserve">Weinberg culmina su obra trazando el camino desde los núcleos (Fuerza Fuerte y Débil, modelo de capas, desintegraciones alfa y beta), un preludio necesario para la</w:t>
      </w:r>
      <w:r>
        <w:t xml:space="preserve"> </w:t>
      </w:r>
      <w:r>
        <w:rPr>
          <w:b/>
          <w:bCs/>
        </w:rPr>
        <w:t xml:space="preserve">Teoría Cuántica de Campos (QFT)</w:t>
      </w:r>
      <w:r>
        <w:t xml:space="preserve">. En el Capítulo 7, el autor (arquitecto él mismo del modelo estándar) unifica la Relatividad Especial con la Mecánica Cuántica mediante el formalismo canónico, demostrando cómo y por qué emergen los fotones, la anti-materia y las restricciones de espín-estadística.</w:t>
      </w:r>
    </w:p>
    <w:bookmarkEnd w:id="15"/>
    <w:bookmarkEnd w:id="16"/>
    <w:bookmarkStart w:id="17" w:name="X8ead8cee77dd0a1a265084672e178a09626f9e8"/>
    <w:p>
      <w:pPr>
        <w:pStyle w:val="Heading2"/>
      </w:pPr>
      <w:r>
        <w:t xml:space="preserve">3. Síntesis Analítica del Enfoque Weinbergiano</w:t>
      </w:r>
    </w:p>
    <w:p>
      <w:pPr>
        <w:pStyle w:val="FirstParagraph"/>
      </w:pPr>
      <w:r>
        <w:t xml:space="preserve">El análisis completo del libro revela una convicción central:</w:t>
      </w:r>
      <w:r>
        <w:t xml:space="preserve"> </w:t>
      </w:r>
      <w:r>
        <w:rPr>
          <w:b/>
          <w:bCs/>
        </w:rPr>
        <w:t xml:space="preserve">la física moderna no invalida la física pre-cuántica, sino que es su culminación natural</w:t>
      </w:r>
      <w:r>
        <w:t xml:space="preserve">.</w:t>
      </w:r>
      <w:r>
        <w:t xml:space="preserve"> </w:t>
      </w:r>
      <w:r>
        <w:t xml:space="preserve">Al enseñar Relatividad General o Teoría Cuántica de Campos apoyándose en un firme sustrato de Termodinámica de gases y electromagnetismo temprano, el autor obliga al lector a comprender la fenomenología (el</w:t>
      </w:r>
      <w:r>
        <w:t xml:space="preserve"> </w:t>
      </w:r>
      <w:r>
        <w:rPr>
          <w:i/>
          <w:iCs/>
        </w:rPr>
        <w:t xml:space="preserve">qué</w:t>
      </w:r>
      <w:r>
        <w:t xml:space="preserve">) de forma entrelazada con el rigor matemático (el</w:t>
      </w:r>
      <w:r>
        <w:t xml:space="preserve"> </w:t>
      </w:r>
      <w:r>
        <w:rPr>
          <w:i/>
          <w:iCs/>
        </w:rPr>
        <w:t xml:space="preserve">cómo</w:t>
      </w:r>
      <w:r>
        <w:t xml:space="preserve">) y la limitación histórica (el</w:t>
      </w:r>
      <w:r>
        <w:t xml:space="preserve"> </w:t>
      </w:r>
      <w:r>
        <w:rPr>
          <w:i/>
          <w:iCs/>
        </w:rPr>
        <w:t xml:space="preserve">por qué no de otra forma</w:t>
      </w:r>
      <w:r>
        <w:t xml:space="preserve">). Este enfoque discursivo hace que la complejidad matemática subsecuente sea tratada como un instrumento revelador y no como un obstáculo hermético.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2026-06-14T17:04:24Z</dcterms:created>
  <dcterms:modified xsi:type="dcterms:W3CDTF">2026-06-14T17:04:24Z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