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80280c00d501b0eb5da078001eebcdd25964a1"/>
    <w:p>
      <w:pPr>
        <w:pStyle w:val="Heading1"/>
      </w:pPr>
      <w:r>
        <w:t xml:space="preserve">La entropía en gases ideales y reales: de Clausius a Planck</w:t>
      </w:r>
    </w:p>
    <w:p>
      <w:pPr>
        <w:pStyle w:val="FirstParagraph"/>
      </w:pPr>
      <w:r>
        <w:rPr>
          <w:b/>
          <w:bCs/>
        </w:rPr>
        <w:t xml:space="preserve">Módulo 1 — Termodinámica y Teoría Atómica Pre-Cuántica</w:t>
      </w:r>
      <w:r>
        <w:t xml:space="preserve"> </w:t>
      </w:r>
      <w:r>
        <w:rPr>
          <w:b/>
          <w:bCs/>
        </w:rPr>
        <w:t xml:space="preserve">Diplomado en Física Moderna: Termodinámica, Mecánica Cuántica y Relatividad</w:t>
      </w:r>
      <w:r>
        <w:t xml:space="preserve"> </w:t>
      </w:r>
      <w:r>
        <w:t xml:space="preserve">Docente: Prof. Julio Eduardo Oliva Zapata | Estudiante: [Nombre] | 25 septiembre 2026</w:t>
      </w:r>
    </w:p>
    <w:p>
      <w:r>
        <w:pict>
          <v:rect style="width:0;height:1.5pt" o:hralign="center" o:hrstd="t" o:hr="t"/>
        </w:pict>
      </w:r>
    </w:p>
    <w:bookmarkStart w:id="20" w:name="resumen"/>
    <w:p>
      <w:pPr>
        <w:pStyle w:val="Heading2"/>
      </w:pPr>
      <w:r>
        <w:t xml:space="preserve">Resumen</w:t>
      </w:r>
    </w:p>
    <w:p>
      <w:pPr>
        <w:pStyle w:val="FirstParagraph"/>
      </w:pPr>
      <w:r>
        <w:t xml:space="preserve">Este trabajo analiza cómo se define, calcula y modifica el concepto de entropía al pasar de un gas ideal a un gas real. Se parte de la definición termodinámica de Clausius (</w:t>
      </w:r>
      <m:oMath>
        <m:r>
          <m:t>d</m:t>
        </m:r>
        <m:r>
          <m:t>S</m:t>
        </m:r>
        <m:r>
          <m:rPr>
            <m:sty m:val="p"/>
          </m:rPr>
          <m:t>=</m:t>
        </m:r>
        <m:r>
          <m:t>δ</m:t>
        </m:r>
        <m:sSub>
          <m:e>
            <m:r>
              <m:t>Q</m:t>
            </m:r>
          </m:e>
          <m:sub>
            <m:r>
              <m:rPr>
                <m:nor/>
                <m:sty m:val="p"/>
              </m:rPr>
              <m:t>rev</m:t>
            </m:r>
          </m:sub>
        </m:sSub>
        <m:r>
          <m:rPr>
            <m:sty m:val="p"/>
          </m:rPr>
          <m:t>/</m:t>
        </m:r>
        <m:r>
          <m:t>T</m:t>
        </m:r>
      </m:oMath>
      <w:r>
        <w:t xml:space="preserve">), se calcula la entropía del gas ideal y se muestra que la expresión obtenida conduce a la paradoja de Gibbs. La resolución de esa paradoja exige la mecánica estadística de Boltzmann (</w:t>
      </w:r>
      <m:oMath>
        <m:r>
          <m:t>S</m:t>
        </m:r>
        <m:r>
          <m:rPr>
            <m:sty m:val="p"/>
          </m:rPr>
          <m:t>=</m:t>
        </m:r>
        <m:sSub>
          <m:e>
            <m:r>
              <m:t>k</m:t>
            </m:r>
          </m:e>
          <m:sub>
            <m:r>
              <m:t>B</m:t>
            </m:r>
          </m:sub>
        </m:sSub>
        <m:r>
          <m:rPr>
            <m:sty m:val="p"/>
          </m:rPr>
          <m:t>ln</m:t>
        </m:r>
        <m:r>
          <m:t>Ω</m:t>
        </m:r>
      </m:oMath>
      <w:r>
        <w:t xml:space="preserve">) y la indistinguibilidad cuántica de las partículas, dando lugar a la fórmula de Sackur–Tetrode. Se compara este resultado con la entropía del gas de Van der Waals, que incorpora el volumen excluido y las interacciones moleculares. Finalmente, se muestra que la misma entropía de Boltzmann fue la herramienta con que Planck derivó la cuantización de la energía en 1900, conectando el Módulo 1 con el Módulo 2 del diplomado.</w:t>
      </w:r>
    </w:p>
    <w:p>
      <w:pPr>
        <w:pStyle w:val="BodyText"/>
      </w:pPr>
      <w:r>
        <w:rPr>
          <w:b/>
          <w:bCs/>
        </w:rPr>
        <w:t xml:space="preserve">Palabras clave:</w:t>
      </w:r>
      <w:r>
        <w:t xml:space="preserve"> </w:t>
      </w:r>
      <w:r>
        <w:t xml:space="preserve">entropía, segunda ley, gas ideal, Van der Waals, paradoja de Gibbs, Sackur–Tetrode, Planck.</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¿Por qué la entropía, una magnitud definida a partir del calor y la temperatura, necesita de los átomos para tener un valor absoluto y un significado físico completo?</w:t>
      </w:r>
    </w:p>
    <w:p>
      <w:pPr>
        <w:pStyle w:val="BodyText"/>
      </w:pPr>
      <w:r>
        <w:t xml:space="preserve">Esta pregunta guía el presente informe. La entropía de Clausius permite calcular</w:t>
      </w:r>
      <w:r>
        <w:t xml:space="preserve"> </w:t>
      </w:r>
      <w:r>
        <w:rPr>
          <w:i/>
          <w:iCs/>
        </w:rPr>
        <w:t xml:space="preserve">cambios</w:t>
      </w:r>
      <w:r>
        <w:t xml:space="preserve"> </w:t>
      </w:r>
      <w:r>
        <w:t xml:space="preserve">de entropía con precisión, pero deja libre una constante de integración que la termodinámica macroscópica no puede fijar. Esa indeterminación no es un detalle técnico: es la señal de que el concepto exige una capa más profunda de descripción. Boltzmann la encontró en el conteo de configuraciones moleculares. Pero al aplicar ese conteo con rigor, aparece una contradicción — la paradoja de Gibbs — que solo se resuelve reconociendo una propiedad fundamental de los átomos: son indistinguibles entre sí. Y esa misma indistinguibilidad, aplicada a los cuantos de energía, fue la clave con que Planck abrió la física cuántica.</w:t>
      </w:r>
    </w:p>
    <w:p>
      <w:pPr>
        <w:pStyle w:val="BodyText"/>
      </w:pPr>
      <w:r>
        <w:t xml:space="preserve">Este informe tiene tres objetivos: (1) derivar la entropía del gas ideal y del gas de Van der Waals, (2) demostrar la paradoja de Gibbs y su resolución mediante la mecánica estadística, y (3) mostrar cómo ese mismo formalismo condujo a Planck a postular la cuantización de la energía. La metodología es analítica: derivaciones desde primeros principios con apoyo en fuentes primarias.</w:t>
      </w:r>
    </w:p>
    <w:p>
      <w:pPr>
        <w:pStyle w:val="BodyText"/>
      </w:pPr>
      <w:r>
        <w:t xml:space="preserve">La clase elegida es la</w:t>
      </w:r>
      <w:r>
        <w:t xml:space="preserve"> </w:t>
      </w:r>
      <w:r>
        <w:rPr>
          <w:b/>
          <w:bCs/>
        </w:rPr>
        <w:t xml:space="preserve">Clase 5</w:t>
      </w:r>
      <w:r>
        <w:t xml:space="preserve"> </w:t>
      </w:r>
      <w:r>
        <w:t xml:space="preserve">(segunda ley y entropía), complementada con contenido de la</w:t>
      </w:r>
      <w:r>
        <w:t xml:space="preserve"> </w:t>
      </w:r>
      <w:r>
        <w:rPr>
          <w:b/>
          <w:bCs/>
        </w:rPr>
        <w:t xml:space="preserve">Clase 4</w:t>
      </w:r>
      <w:r>
        <w:t xml:space="preserve"> </w:t>
      </w:r>
      <w:r>
        <w:t xml:space="preserve">(gas de Van der Waals), dado que ambas comparten el hilo conductor de la entropía como función sensible a la estructura molecular del sistema.</w:t>
      </w:r>
    </w:p>
    <w:p>
      <w:r>
        <w:pict>
          <v:rect style="width:0;height:1.5pt" o:hralign="center" o:hrstd="t" o:hr="t"/>
        </w:pict>
      </w:r>
    </w:p>
    <w:bookmarkEnd w:id="21"/>
    <w:bookmarkStart w:id="22" w:name="contexto-histórico"/>
    <w:p>
      <w:pPr>
        <w:pStyle w:val="Heading2"/>
      </w:pPr>
      <w:r>
        <w:t xml:space="preserve">2. Contexto histórico</w:t>
      </w:r>
    </w:p>
    <w:p>
      <w:pPr>
        <w:pStyle w:val="FirstParagraph"/>
      </w:pPr>
      <w:r>
        <w:t xml:space="preserve">El siglo XIX comenzó creyendo que el calor era un fluido —el</w:t>
      </w:r>
      <w:r>
        <w:t xml:space="preserve"> </w:t>
      </w:r>
      <w:r>
        <w:rPr>
          <w:i/>
          <w:iCs/>
        </w:rPr>
        <w:t xml:space="preserve">calórico</w:t>
      </w:r>
      <w:r>
        <w:t xml:space="preserve">— y terminó entendiendo que era energía en tránsito. Joule midió en 1843 el equivalente mecánico del calor:</w:t>
      </w:r>
      <w:r>
        <w:t xml:space="preserve"> </w:t>
      </w:r>
      <m:oMath>
        <m:r>
          <m:t>1</m:t>
        </m:r>
        <m:r>
          <m:t> </m:t>
        </m:r>
        <m:r>
          <m:rPr>
            <m:nor/>
            <m:sty m:val="p"/>
          </m:rPr>
          <m:t>cal</m:t>
        </m:r>
        <m:r>
          <m:rPr>
            <m:sty m:val="p"/>
          </m:rPr>
          <m:t>=</m:t>
        </m:r>
        <m:r>
          <m:t>4.186</m:t>
        </m:r>
        <m:r>
          <m:t> </m:t>
        </m:r>
        <m:r>
          <m:rPr>
            <m:nor/>
            <m:sty m:val="p"/>
          </m:rPr>
          <m:t>J</m:t>
        </m:r>
      </m:oMath>
      <w:r>
        <w:t xml:space="preserve">. Carnot (1824) había demostrado antes, sin saber esto, que la eficiencia de cualquier máquina térmica está limitada por las temperaturas entre las que opera:</w:t>
      </w:r>
      <w:r>
        <w:t xml:space="preserve"> </w:t>
      </w:r>
      <m:oMath>
        <m:r>
          <m:t>η</m:t>
        </m:r>
        <m:r>
          <m:rPr>
            <m:sty m:val="p"/>
          </m:rPr>
          <m:t>≤</m:t>
        </m:r>
        <m:r>
          <m:t>1</m:t>
        </m:r>
        <m:r>
          <m:rPr>
            <m:sty m:val="p"/>
          </m:rPr>
          <m:t>−</m:t>
        </m:r>
        <m:sSub>
          <m:e>
            <m:r>
              <m:t>T</m:t>
            </m:r>
          </m:e>
          <m:sub>
            <m:r>
              <m:t>C</m:t>
            </m:r>
          </m:sub>
        </m:sSub>
        <m:r>
          <m:rPr>
            <m:sty m:val="p"/>
          </m:rPr>
          <m:t>/</m:t>
        </m:r>
        <m:sSub>
          <m:e>
            <m:r>
              <m:t>T</m:t>
            </m:r>
          </m:e>
          <m:sub>
            <m:r>
              <m:t>H</m:t>
            </m:r>
          </m:sub>
        </m:sSub>
      </m:oMath>
      <w:r>
        <w:t xml:space="preserve">. Clausius (1850, 1865) formalizó ambas leyes, acuñó el término entropía y enunció el teorema del ciclo. Boltzmann (1877) conectó la entropía con el número de microestados moleculares. Van der Waals (1873) mostró que las moléculas tienen volumen propio e interacciones atractivas, corrigiendo la ecuación de estado ideal. Gibbs (1876–78) sistematizó la termodinámica y señaló la paradoja que hoy lleva su nombre. Planck (1900), forzado por los datos del cuerpo negro, postuló la cuantización de la energía usando precisamente la entropía de Boltzmann como herramienta.</w:t>
      </w:r>
    </w:p>
    <w:p>
      <w:pPr>
        <w:pStyle w:val="BodyText"/>
      </w:pPr>
      <w:r>
        <w:t xml:space="preserve">Boltzmann murió en 1906, combatido por quienes negaban la existencia de los átomos. El experimento de Perrin en 1908 midió directamente el número de Avogadro y vindicó su obra, cerrando el debate sobre la realidad de la materia atómica.</w:t>
      </w:r>
    </w:p>
    <w:p>
      <w:r>
        <w:pict>
          <v:rect style="width:0;height:1.5pt" o:hralign="center" o:hrstd="t" o:hr="t"/>
        </w:pict>
      </w:r>
    </w:p>
    <w:bookmarkEnd w:id="22"/>
    <w:bookmarkStart w:id="29" w:name="desarrollo"/>
    <w:p>
      <w:pPr>
        <w:pStyle w:val="Heading2"/>
      </w:pPr>
      <w:r>
        <w:t xml:space="preserve">3. Desarrollo</w:t>
      </w:r>
    </w:p>
    <w:bookmarkStart w:id="23" w:name="la-segunda-ley-y-la-entropía-de-clausius"/>
    <w:p>
      <w:pPr>
        <w:pStyle w:val="Heading3"/>
      </w:pPr>
      <w:r>
        <w:t xml:space="preserve">3.1 La segunda ley y la entropía de Clausius</w:t>
      </w:r>
    </w:p>
    <w:p>
      <w:pPr>
        <w:pStyle w:val="FirstParagraph"/>
      </w:pPr>
      <w:r>
        <w:t xml:space="preserve">La segunda ley establece que los procesos espontáneos tienen una dirección preferida. Clausius la capturó con el</w:t>
      </w:r>
      <w:r>
        <w:t xml:space="preserve"> </w:t>
      </w:r>
      <w:r>
        <w:rPr>
          <w:b/>
          <w:bCs/>
        </w:rPr>
        <w:t xml:space="preserve">teorema del ciclo</w:t>
      </w:r>
      <w:r>
        <w:t xml:space="preserve">:</w:t>
      </w:r>
    </w:p>
    <w:p>
      <w:pPr>
        <w:pStyle w:val="BodyText"/>
      </w:pPr>
      <m:oMathPara>
        <m:oMathParaPr>
          <m:jc m:val="center"/>
        </m:oMathParaPr>
        <m:oMath>
          <m:r>
            <m:rPr>
              <m:sty m:val="p"/>
            </m:rPr>
            <m:t>∮</m:t>
          </m:r>
          <m:f>
            <m:fPr>
              <m:type m:val="bar"/>
            </m:fPr>
            <m:num>
              <m:r>
                <m:t>δ</m:t>
              </m:r>
              <m:r>
                <m:t>Q</m:t>
              </m:r>
            </m:num>
            <m:den>
              <m:r>
                <m:t>T</m:t>
              </m:r>
            </m:den>
          </m:f>
          <m:r>
            <m:rPr>
              <m:sty m:val="p"/>
            </m:rPr>
            <m:t>≤</m:t>
          </m:r>
          <m:r>
            <m:t>0</m:t>
          </m:r>
          <m:r>
            <m:rPr>
              <m:sty m:val="p"/>
            </m:rPr>
            <m:t>,</m:t>
          </m:r>
        </m:oMath>
      </m:oMathPara>
    </w:p>
    <w:p>
      <w:pPr>
        <w:pStyle w:val="FirstParagraph"/>
      </w:pPr>
      <w:r>
        <w:t xml:space="preserve">con igualdad para procesos reversibles. La consecuencia directa es que</w:t>
      </w:r>
      <w:r>
        <w:t xml:space="preserve"> </w:t>
      </w:r>
      <m:oMath>
        <m:r>
          <m:t>δ</m:t>
        </m:r>
        <m:sSub>
          <m:e>
            <m:r>
              <m:t>Q</m:t>
            </m:r>
          </m:e>
          <m:sub>
            <m:r>
              <m:rPr>
                <m:nor/>
                <m:sty m:val="p"/>
              </m:rPr>
              <m:t>rev</m:t>
            </m:r>
          </m:sub>
        </m:sSub>
        <m:r>
          <m:rPr>
            <m:sty m:val="p"/>
          </m:rPr>
          <m:t>/</m:t>
        </m:r>
        <m:r>
          <m:t>T</m:t>
        </m:r>
      </m:oMath>
      <w:r>
        <w:t xml:space="preserve"> </w:t>
      </w:r>
      <w:r>
        <w:t xml:space="preserve">es un diferencial exacto: existe una función de estado</w:t>
      </w:r>
      <w:r>
        <w:t xml:space="preserve"> </w:t>
      </w:r>
      <m:oMath>
        <m:r>
          <m:t>S</m:t>
        </m:r>
      </m:oMath>
      <w:r>
        <w:t xml:space="preserve"> </w:t>
      </w:r>
      <w:r>
        <w:t xml:space="preserve">tal que:</w:t>
      </w:r>
    </w:p>
    <w:p>
      <w:pPr>
        <w:pStyle w:val="BodyText"/>
      </w:pPr>
      <m:oMathPara>
        <m:oMathParaPr>
          <m:jc m:val="center"/>
        </m:oMathParaPr>
        <m:oMath>
          <m:r>
            <m:t>d</m:t>
          </m:r>
          <m:r>
            <m:t>S</m:t>
          </m:r>
          <m:r>
            <m:rPr>
              <m:sty m:val="p"/>
            </m:rPr>
            <m:t>=</m:t>
          </m:r>
          <m:f>
            <m:fPr>
              <m:type m:val="bar"/>
            </m:fPr>
            <m:num>
              <m:r>
                <m:t>δ</m:t>
              </m:r>
              <m:sSub>
                <m:e>
                  <m:r>
                    <m:t>Q</m:t>
                  </m:r>
                </m:e>
                <m:sub>
                  <m:r>
                    <m:rPr>
                      <m:nor/>
                      <m:sty m:val="p"/>
                    </m:rPr>
                    <m:t>rev</m:t>
                  </m:r>
                </m:sub>
              </m:sSub>
            </m:num>
            <m:den>
              <m:r>
                <m:t>T</m:t>
              </m:r>
            </m:den>
          </m:f>
          <m:r>
            <m:rPr>
              <m:sty m:val="p"/>
            </m:rPr>
            <m:t>.</m:t>
          </m:r>
        </m:oMath>
      </m:oMathPara>
    </w:p>
    <w:p>
      <w:pPr>
        <w:pStyle w:val="FirstParagraph"/>
      </w:pPr>
      <w:r>
        <w:t xml:space="preserve">Combinada con la primera ley (</w:t>
      </w:r>
      <m:oMath>
        <m:r>
          <m:t>d</m:t>
        </m:r>
        <m:r>
          <m:t>U</m:t>
        </m:r>
        <m:r>
          <m:rPr>
            <m:sty m:val="p"/>
          </m:rPr>
          <m:t>=</m:t>
        </m:r>
        <m:r>
          <m:t>δ</m:t>
        </m:r>
        <m:r>
          <m:t>Q</m:t>
        </m:r>
        <m:r>
          <m:rPr>
            <m:sty m:val="p"/>
          </m:rPr>
          <m:t>−</m:t>
        </m:r>
        <m:r>
          <m:t>P</m:t>
        </m:r>
        <m:r>
          <m:t> </m:t>
        </m:r>
        <m:r>
          <m:t>d</m:t>
        </m:r>
        <m:r>
          <m:t>V</m:t>
        </m:r>
      </m:oMath>
      <w:r>
        <w:t xml:space="preserve">), produce la</w:t>
      </w:r>
      <w:r>
        <w:t xml:space="preserve"> </w:t>
      </w:r>
      <w:r>
        <w:rPr>
          <w:b/>
          <w:bCs/>
        </w:rPr>
        <w:t xml:space="preserve">relación fundamental</w:t>
      </w:r>
      <w:r>
        <w:t xml:space="preserve">:</w:t>
      </w:r>
    </w:p>
    <w:p>
      <w:pPr>
        <w:pStyle w:val="BodyText"/>
      </w:pPr>
      <m:oMathPara>
        <m:oMathParaPr>
          <m:jc m:val="center"/>
        </m:oMathParaPr>
        <m:oMath>
          <m:r>
            <m:t>d</m:t>
          </m:r>
          <m:r>
            <m:t>U</m:t>
          </m:r>
          <m:r>
            <m:rPr>
              <m:sty m:val="p"/>
            </m:rPr>
            <m:t>=</m:t>
          </m:r>
          <m:r>
            <m:t>T</m:t>
          </m:r>
          <m:r>
            <m:t> </m:t>
          </m:r>
          <m:r>
            <m:t>d</m:t>
          </m:r>
          <m:r>
            <m:t>S</m:t>
          </m:r>
          <m:r>
            <m:rPr>
              <m:sty m:val="p"/>
            </m:rPr>
            <m:t>−</m:t>
          </m:r>
          <m:r>
            <m:t>P</m:t>
          </m:r>
          <m:r>
            <m:t> </m:t>
          </m:r>
          <m:r>
            <m:t>d</m:t>
          </m:r>
          <m:r>
            <m:t>V</m:t>
          </m:r>
          <m:r>
            <m:rPr>
              <m:sty m:val="p"/>
            </m:rPr>
            <m:t>.</m:t>
          </m:r>
        </m:oMath>
      </m:oMathPara>
    </w:p>
    <w:p>
      <w:pPr>
        <w:pStyle w:val="FirstParagraph"/>
      </w:pPr>
      <w:r>
        <w:t xml:space="preserve">Para sistemas aislados, la segunda ley se reduce a</w:t>
      </w:r>
      <w:r>
        <w:t xml:space="preserve"> </w:t>
      </w:r>
      <m:oMath>
        <m:r>
          <m:t>d</m:t>
        </m:r>
        <m:r>
          <m:t>S</m:t>
        </m:r>
        <m:r>
          <m:rPr>
            <m:sty m:val="p"/>
          </m:rPr>
          <m:t>≥</m:t>
        </m:r>
        <m:r>
          <m:t>0</m:t>
        </m:r>
      </m:oMath>
      <w:r>
        <w:t xml:space="preserve">: la entropía nunca decrece. Esta definición operativa es poderosa, pero tiene un límite: solo fija</w:t>
      </w:r>
      <w:r>
        <w:t xml:space="preserve"> </w:t>
      </w:r>
      <w:r>
        <w:rPr>
          <w:i/>
          <w:iCs/>
        </w:rPr>
        <w:t xml:space="preserve">diferencias</w:t>
      </w:r>
      <w:r>
        <w:t xml:space="preserve"> </w:t>
      </w:r>
      <w:r>
        <w:t xml:space="preserve">de entropía. El valor absoluto queda indeterminado.</w:t>
      </w:r>
    </w:p>
    <w:bookmarkEnd w:id="23"/>
    <w:bookmarkStart w:id="24" w:name="entropía-del-gas-ideal"/>
    <w:p>
      <w:pPr>
        <w:pStyle w:val="Heading3"/>
      </w:pPr>
      <w:r>
        <w:t xml:space="preserve">3.2 Entropía del gas ideal</w:t>
      </w:r>
    </w:p>
    <w:p>
      <w:pPr>
        <w:pStyle w:val="FirstParagraph"/>
      </w:pPr>
      <w:r>
        <w:t xml:space="preserve">Para el gas monoatómico ideal, el teorema de equipartición da</w:t>
      </w:r>
      <w:r>
        <w:t xml:space="preserve"> </w:t>
      </w:r>
      <m:oMath>
        <m:r>
          <m:t>U</m:t>
        </m:r>
        <m:r>
          <m:rPr>
            <m:sty m:val="p"/>
          </m:rPr>
          <m:t>=</m:t>
        </m:r>
        <m:f>
          <m:fPr>
            <m:type m:val="bar"/>
          </m:fPr>
          <m:num>
            <m:r>
              <m:t>3</m:t>
            </m:r>
          </m:num>
          <m:den>
            <m:r>
              <m:t>2</m:t>
            </m:r>
          </m:den>
        </m:f>
        <m:r>
          <m:t>N</m:t>
        </m:r>
        <m:sSub>
          <m:e>
            <m:r>
              <m:t>k</m:t>
            </m:r>
          </m:e>
          <m:sub>
            <m:r>
              <m:t>B</m:t>
            </m:r>
          </m:sub>
        </m:sSub>
        <m:r>
          <m:t>T</m:t>
        </m:r>
      </m:oMath>
      <w:r>
        <w:t xml:space="preserve">. Con</w:t>
      </w:r>
      <w:r>
        <w:t xml:space="preserve"> </w:t>
      </w:r>
      <m:oMath>
        <m:r>
          <m:t>P</m:t>
        </m:r>
        <m:r>
          <m:rPr>
            <m:sty m:val="p"/>
          </m:rPr>
          <m:t>=</m:t>
        </m:r>
        <m:r>
          <m:t>N</m:t>
        </m:r>
        <m:sSub>
          <m:e>
            <m:r>
              <m:t>k</m:t>
            </m:r>
          </m:e>
          <m:sub>
            <m:r>
              <m:t>B</m:t>
            </m:r>
          </m:sub>
        </m:sSub>
        <m:r>
          <m:t>T</m:t>
        </m:r>
        <m:r>
          <m:rPr>
            <m:sty m:val="p"/>
          </m:rPr>
          <m:t>/</m:t>
        </m:r>
        <m:r>
          <m:t>V</m:t>
        </m:r>
      </m:oMath>
      <w:r>
        <w:t xml:space="preserve">, la relación fundamental produce: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r>
            <m:t>N</m:t>
          </m:r>
          <m:sSub>
            <m:e>
              <m:r>
                <m:t>k</m:t>
              </m:r>
            </m:e>
            <m:sub>
              <m:r>
                <m:t>B</m:t>
              </m:r>
            </m:sub>
          </m:sSub>
          <m:f>
            <m:fPr>
              <m:type m:val="bar"/>
            </m:fPr>
            <m:num>
              <m:r>
                <m:t>d</m:t>
              </m:r>
              <m:r>
                <m:t>V</m:t>
              </m:r>
            </m:num>
            <m:den>
              <m:r>
                <m:t>V</m:t>
              </m:r>
            </m:den>
          </m:f>
          <m:r>
            <m:rPr>
              <m:sty m:val="p"/>
            </m:rPr>
            <m:t>.</m:t>
          </m:r>
        </m:oMath>
      </m:oMathPara>
    </w:p>
    <w:p>
      <w:pPr>
        <w:pStyle w:val="FirstParagraph"/>
      </w:pPr>
      <w:r>
        <w:t xml:space="preserve">Integrando:</w:t>
      </w:r>
    </w:p>
    <w:p>
      <w:pPr>
        <w:pStyle w:val="BodyText"/>
      </w:pPr>
      <m:oMathPara>
        <m:oMathParaPr>
          <m:jc m:val="center"/>
        </m:oMathParaPr>
        <m:oMath>
          <m:sSub>
            <m:e>
              <m:r>
                <m:t>S</m:t>
              </m:r>
            </m:e>
            <m:sub>
              <m:r>
                <m:rPr>
                  <m:nor/>
                  <m:sty m:val="p"/>
                </m:rPr>
                <m:t>ideal</m:t>
              </m:r>
            </m:sub>
          </m:sSub>
          <m:d>
            <m:dPr>
              <m:begChr m:val="("/>
              <m:endChr m:val=")"/>
              <m:sepChr m:val=""/>
              <m:grow/>
            </m:dPr>
            <m:e>
              <m:r>
                <m:t>T</m:t>
              </m:r>
              <m:r>
                <m:rPr>
                  <m:sty m:val="p"/>
                </m:rPr>
                <m:t>,</m:t>
              </m:r>
              <m:r>
                <m:t>V</m:t>
              </m:r>
              <m:r>
                <m:rPr>
                  <m:sty m:val="p"/>
                </m:rPr>
                <m:t>,</m:t>
              </m:r>
              <m:r>
                <m:t>N</m:t>
              </m:r>
            </m:e>
          </m:d>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d>
            <m:dPr>
              <m:begChr m:val="("/>
              <m:endChr m:val=")"/>
              <m:sepChr m:val=""/>
              <m:grow/>
            </m:dPr>
            <m:e>
              <m:r>
                <m:t>N</m:t>
              </m:r>
            </m:e>
          </m:d>
          <m:r>
            <m:rPr>
              <m:sty m:val="p"/>
            </m:rPr>
            <m:t>,</m:t>
          </m:r>
        </m:oMath>
      </m:oMathPara>
    </w:p>
    <w:p>
      <w:pPr>
        <w:pStyle w:val="FirstParagraph"/>
      </w:pPr>
      <w:r>
        <w:t xml:space="preserve">donde</w:t>
      </w:r>
      <w:r>
        <w:t xml:space="preserve"> </w:t>
      </w:r>
      <m:oMath>
        <m:r>
          <m:t>C</m:t>
        </m:r>
        <m:d>
          <m:dPr>
            <m:begChr m:val="("/>
            <m:endChr m:val=")"/>
            <m:sepChr m:val=""/>
            <m:grow/>
          </m:dPr>
          <m:e>
            <m:r>
              <m:t>N</m:t>
            </m:r>
          </m:e>
        </m:d>
      </m:oMath>
      <w:r>
        <w:t xml:space="preserve"> </w:t>
      </w:r>
      <w:r>
        <w:t xml:space="preserve">es una constante de integración que la termodinámica macroscópica no puede determinar. Esta es la primera señal de incompletitud que la pregunta introductoria anticipaba.</w:t>
      </w:r>
    </w:p>
    <w:p>
      <w:pPr>
        <w:pStyle w:val="BlockText"/>
      </w:pPr>
      <w:r>
        <w:rPr>
          <w:b/>
          <w:bCs/>
        </w:rPr>
        <w:t xml:space="preserve">Ejercicio:</w:t>
      </w:r>
      <w:r>
        <w:t xml:space="preserve"> </w:t>
      </w:r>
      <w:r>
        <w:t xml:space="preserve">Un mol de argón (</w:t>
      </w:r>
      <m:oMath>
        <m:r>
          <m:t>γ</m:t>
        </m:r>
        <m:r>
          <m:rPr>
            <m:sty m:val="p"/>
          </m:rPr>
          <m:t>=</m:t>
        </m:r>
        <m:r>
          <m:t>5</m:t>
        </m:r>
        <m:r>
          <m:rPr>
            <m:sty m:val="p"/>
          </m:rPr>
          <m:t>/</m:t>
        </m:r>
        <m:r>
          <m:t>3</m:t>
        </m:r>
      </m:oMath>
      <w:r>
        <w:t xml:space="preserve">) a</w:t>
      </w:r>
      <w:r>
        <w:t xml:space="preserve"> </w:t>
      </w:r>
      <m:oMath>
        <m:sSub>
          <m:e>
            <m:r>
              <m:t>T</m:t>
            </m:r>
          </m:e>
          <m:sub>
            <m:r>
              <m:t>i</m:t>
            </m:r>
          </m:sub>
        </m:sSub>
        <m:r>
          <m:rPr>
            <m:sty m:val="p"/>
          </m:rPr>
          <m:t>=</m:t>
        </m:r>
        <m:r>
          <m:t>300</m:t>
        </m:r>
        <m:r>
          <m:t> </m:t>
        </m:r>
        <m:r>
          <m:rPr>
            <m:nor/>
            <m:sty m:val="p"/>
          </m:rPr>
          <m:t>K</m:t>
        </m:r>
      </m:oMath>
      <w:r>
        <w:t xml:space="preserve"> </w:t>
      </w:r>
      <w:r>
        <w:t xml:space="preserve">y</w:t>
      </w:r>
      <w:r>
        <w:t xml:space="preserve"> </w:t>
      </w:r>
      <m:oMath>
        <m:sSub>
          <m:e>
            <m:r>
              <m:t>V</m:t>
            </m:r>
          </m:e>
          <m:sub>
            <m:r>
              <m:t>i</m:t>
            </m:r>
          </m:sub>
        </m:sSub>
        <m:r>
          <m:rPr>
            <m:sty m:val="p"/>
          </m:rPr>
          <m:t>=</m:t>
        </m:r>
        <m:r>
          <m:t>24.6</m:t>
        </m:r>
        <m:r>
          <m:t> </m:t>
        </m:r>
        <m:r>
          <m:rPr>
            <m:nor/>
            <m:sty m:val="p"/>
          </m:rPr>
          <m:t>L</m:t>
        </m:r>
      </m:oMath>
      <w:r>
        <w:t xml:space="preserve"> </w:t>
      </w:r>
      <w:r>
        <w:t xml:space="preserve">se expande adiabáticamente de forma reversible hasta</w:t>
      </w:r>
      <w:r>
        <w:t xml:space="preserve"> </w:t>
      </w:r>
      <m:oMath>
        <m:sSub>
          <m:e>
            <m:r>
              <m:t>V</m:t>
            </m:r>
          </m:e>
          <m:sub>
            <m:r>
              <m:t>f</m:t>
            </m:r>
          </m:sub>
        </m:sSub>
        <m:r>
          <m:rPr>
            <m:sty m:val="p"/>
          </m:rPr>
          <m:t>=</m:t>
        </m:r>
        <m:r>
          <m:t>49.2</m:t>
        </m:r>
        <m:r>
          <m:t> </m:t>
        </m:r>
        <m:r>
          <m:rPr>
            <m:nor/>
            <m:sty m:val="p"/>
          </m:rPr>
          <m:t>L</m:t>
        </m:r>
      </m:oMath>
      <w:r>
        <w:t xml:space="preserve">. (a) Calcule</w:t>
      </w:r>
      <w:r>
        <w:t xml:space="preserve"> </w:t>
      </w:r>
      <m:oMath>
        <m:sSub>
          <m:e>
            <m:r>
              <m:t>T</m:t>
            </m:r>
          </m:e>
          <m:sub>
            <m:r>
              <m:t>f</m:t>
            </m:r>
          </m:sub>
        </m:sSub>
      </m:oMath>
      <w:r>
        <w:t xml:space="preserve">. (b) Calcule el trabajo realizado.</w:t>
      </w:r>
    </w:p>
    <w:p>
      <w:pPr>
        <w:pStyle w:val="BlockText"/>
      </w:pPr>
      <w:r>
        <w:rPr>
          <w:i/>
          <w:iCs/>
        </w:rPr>
        <w:t xml:space="preserve">Solución:</w:t>
      </w:r>
      <w:r>
        <w:t xml:space="preserve"> </w:t>
      </w:r>
      <w:r>
        <w:t xml:space="preserve">De</w:t>
      </w:r>
      <w:r>
        <w:t xml:space="preserve"> </w:t>
      </w:r>
      <m:oMath>
        <m:r>
          <m:t>d</m:t>
        </m:r>
        <m:r>
          <m:t>S</m:t>
        </m:r>
        <m:r>
          <m:rPr>
            <m:sty m:val="p"/>
          </m:rPr>
          <m:t>=</m:t>
        </m:r>
        <m:r>
          <m:t>0</m:t>
        </m:r>
      </m:oMath>
      <w:r>
        <w:t xml:space="preserve"> </w:t>
      </w:r>
      <w:r>
        <w:t xml:space="preserve">se obtiene</w:t>
      </w:r>
      <w:r>
        <w:t xml:space="preserve"> </w:t>
      </w:r>
      <m:oMath>
        <m:r>
          <m:t>T</m:t>
        </m:r>
        <m:sSup>
          <m:e>
            <m:r>
              <m:t>V</m:t>
            </m:r>
          </m:e>
          <m:sup>
            <m:r>
              <m:t>2</m:t>
            </m:r>
            <m:r>
              <m:rPr>
                <m:sty m:val="p"/>
              </m:rPr>
              <m:t>/</m:t>
            </m:r>
            <m:r>
              <m:t>3</m:t>
            </m:r>
          </m:sup>
        </m:sSup>
        <m:r>
          <m:rPr>
            <m:sty m:val="p"/>
          </m:rPr>
          <m:t>=</m:t>
        </m:r>
        <m:r>
          <m:rPr>
            <m:nor/>
            <m:sty m:val="p"/>
          </m:rPr>
          <m:t>cte</m:t>
        </m:r>
      </m:oMath>
      <w:r>
        <w:t xml:space="preserve">, luego</w:t>
      </w:r>
      <w:r>
        <w:t xml:space="preserve"> </w:t>
      </w:r>
      <m:oMath>
        <m:sSub>
          <m:e>
            <m:r>
              <m:t>T</m:t>
            </m:r>
          </m:e>
          <m:sub>
            <m:r>
              <m:t>f</m:t>
            </m:r>
          </m:sub>
        </m:sSub>
        <m:r>
          <m:rPr>
            <m:sty m:val="p"/>
          </m:rPr>
          <m:t>=</m:t>
        </m:r>
        <m:sSub>
          <m:e>
            <m:r>
              <m:t>T</m:t>
            </m:r>
          </m:e>
          <m:sub>
            <m:r>
              <m:t>i</m:t>
            </m:r>
          </m:sub>
        </m:sSub>
        <m:sSup>
          <m:e>
            <m:d>
              <m:dPr>
                <m:begChr m:val="("/>
                <m:endChr m:val=")"/>
                <m:sepChr m:val=""/>
                <m:grow/>
              </m:dPr>
              <m:e>
                <m:sSub>
                  <m:e>
                    <m:r>
                      <m:t>V</m:t>
                    </m:r>
                  </m:e>
                  <m:sub>
                    <m:r>
                      <m:t>i</m:t>
                    </m:r>
                  </m:sub>
                </m:sSub>
                <m:r>
                  <m:rPr>
                    <m:sty m:val="p"/>
                  </m:rPr>
                  <m:t>/</m:t>
                </m:r>
                <m:sSub>
                  <m:e>
                    <m:r>
                      <m:t>V</m:t>
                    </m:r>
                  </m:e>
                  <m:sub>
                    <m:r>
                      <m:t>f</m:t>
                    </m:r>
                  </m:sub>
                </m:sSub>
              </m:e>
            </m:d>
          </m:e>
          <m:sup>
            <m:r>
              <m:t>2</m:t>
            </m:r>
            <m:r>
              <m:rPr>
                <m:sty m:val="p"/>
              </m:rPr>
              <m:t>/</m:t>
            </m:r>
            <m:r>
              <m:t>3</m:t>
            </m:r>
          </m:sup>
        </m:sSup>
        <m:r>
          <m:rPr>
            <m:sty m:val="p"/>
          </m:rPr>
          <m:t>=</m:t>
        </m:r>
        <m:r>
          <m:t>300</m:t>
        </m:r>
        <m:r>
          <m:rPr>
            <m:sty m:val="p"/>
          </m:rPr>
          <m:t>/</m:t>
        </m:r>
        <m:sSup>
          <m:e>
            <m:r>
              <m:t>2</m:t>
            </m:r>
          </m:e>
          <m:sup>
            <m:r>
              <m:t>2</m:t>
            </m:r>
            <m:r>
              <m:rPr>
                <m:sty m:val="p"/>
              </m:rPr>
              <m:t>/</m:t>
            </m:r>
            <m:r>
              <m:t>3</m:t>
            </m:r>
          </m:sup>
        </m:sSup>
        <m:r>
          <m:rPr>
            <m:sty m:val="p"/>
          </m:rPr>
          <m:t>≈</m:t>
        </m:r>
        <m:r>
          <m:t>189</m:t>
        </m:r>
        <m:r>
          <m:t> </m:t>
        </m:r>
        <m:r>
          <m:rPr>
            <m:nor/>
            <m:sty m:val="p"/>
          </m:rPr>
          <m:t>K</m:t>
        </m:r>
      </m:oMath>
      <w:r>
        <w:t xml:space="preserve">. El trabajo es</w:t>
      </w:r>
      <w:r>
        <w:t xml:space="preserve"> </w:t>
      </w:r>
      <m:oMath>
        <m:r>
          <m:t>W</m:t>
        </m:r>
        <m:r>
          <m:rPr>
            <m:sty m:val="p"/>
          </m:rPr>
          <m:t>=</m:t>
        </m:r>
        <m:f>
          <m:fPr>
            <m:type m:val="bar"/>
          </m:fPr>
          <m:num>
            <m:r>
              <m:t>3</m:t>
            </m:r>
          </m:num>
          <m:den>
            <m:r>
              <m:t>2</m:t>
            </m:r>
          </m:den>
        </m:f>
        <m:r>
          <m:t>R</m:t>
        </m:r>
        <m:d>
          <m:dPr>
            <m:begChr m:val="("/>
            <m:endChr m:val=")"/>
            <m:sepChr m:val=""/>
            <m:grow/>
          </m:dPr>
          <m:e>
            <m:sSub>
              <m:e>
                <m:r>
                  <m:t>T</m:t>
                </m:r>
              </m:e>
              <m:sub>
                <m:r>
                  <m:t>i</m:t>
                </m:r>
              </m:sub>
            </m:sSub>
            <m:r>
              <m:rPr>
                <m:sty m:val="p"/>
              </m:rPr>
              <m:t>−</m:t>
            </m:r>
            <m:sSub>
              <m:e>
                <m:r>
                  <m:t>T</m:t>
                </m:r>
              </m:e>
              <m:sub>
                <m:r>
                  <m:t>f</m:t>
                </m:r>
              </m:sub>
            </m:sSub>
          </m:e>
        </m:d>
        <m:r>
          <m:rPr>
            <m:sty m:val="p"/>
          </m:rPr>
          <m:t>≈</m:t>
        </m:r>
        <m:r>
          <m:t>1</m:t>
        </m:r>
        <m:r>
          <m:t> </m:t>
        </m:r>
        <m:r>
          <m:t>380</m:t>
        </m:r>
        <m:r>
          <m:t> </m:t>
        </m:r>
        <m:r>
          <m:rPr>
            <m:nor/>
            <m:sty m:val="p"/>
          </m:rPr>
          <m:t>J</m:t>
        </m:r>
      </m:oMath>
      <w:r>
        <w:t xml:space="preserve">, lo que equivale a la ley de Poisson</w:t>
      </w:r>
      <w:r>
        <w:t xml:space="preserve"> </w:t>
      </w:r>
      <m:oMath>
        <m:r>
          <m:t>P</m:t>
        </m:r>
        <m:sSup>
          <m:e>
            <m:r>
              <m:t>V</m:t>
            </m:r>
          </m:e>
          <m:sup>
            <m:r>
              <m:t>5</m:t>
            </m:r>
            <m:r>
              <m:rPr>
                <m:sty m:val="p"/>
              </m:rPr>
              <m:t>/</m:t>
            </m:r>
            <m:r>
              <m:t>3</m:t>
            </m:r>
          </m:sup>
        </m:sSup>
        <m:r>
          <m:rPr>
            <m:sty m:val="p"/>
          </m:rPr>
          <m:t>=</m:t>
        </m:r>
        <m:r>
          <m:rPr>
            <m:nor/>
            <m:sty m:val="p"/>
          </m:rPr>
          <m:t>cte</m:t>
        </m:r>
      </m:oMath>
      <w:r>
        <w:t xml:space="preserve">.</w:t>
      </w:r>
    </w:p>
    <w:bookmarkEnd w:id="24"/>
    <w:bookmarkStart w:id="25" w:name="la-paradoja-de-gibbs"/>
    <w:p>
      <w:pPr>
        <w:pStyle w:val="Heading3"/>
      </w:pPr>
      <w:r>
        <w:t xml:space="preserve">3.3 La paradoja de Gibbs</w:t>
      </w:r>
    </w:p>
    <w:p>
      <w:pPr>
        <w:pStyle w:val="FirstParagraph"/>
      </w:pPr>
      <w:r>
        <w:t xml:space="preserve">Consideremos dos recipientes idénticos: mismo gas ideal,</w:t>
      </w:r>
      <w:r>
        <w:t xml:space="preserve"> </w:t>
      </w:r>
      <m:oMath>
        <m:r>
          <m:t>N</m:t>
        </m:r>
      </m:oMath>
      <w:r>
        <w:t xml:space="preserve"> </w:t>
      </w:r>
      <w:r>
        <w:t xml:space="preserve">partículas, temperatura</w:t>
      </w:r>
      <w:r>
        <w:t xml:space="preserve"> </w:t>
      </w:r>
      <m:oMath>
        <m:r>
          <m:t>T</m:t>
        </m:r>
      </m:oMath>
      <w:r>
        <w:t xml:space="preserve">, volumen</w:t>
      </w:r>
      <w:r>
        <w:t xml:space="preserve"> </w:t>
      </w:r>
      <m:oMath>
        <m:r>
          <m:t>V</m:t>
        </m:r>
      </m:oMath>
      <w:r>
        <w:t xml:space="preserve">. Entropía inicial (con</w:t>
      </w:r>
      <w:r>
        <w:t xml:space="preserve"> </w:t>
      </w:r>
      <m:oMath>
        <m:r>
          <m:t>C</m:t>
        </m:r>
        <m:r>
          <m:rPr>
            <m:sty m:val="p"/>
          </m:rPr>
          <m:t>=</m:t>
        </m:r>
        <m:r>
          <m:t>0</m:t>
        </m:r>
      </m:oMath>
      <w:r>
        <w:t xml:space="preserve">):</w:t>
      </w:r>
    </w:p>
    <w:p>
      <w:pPr>
        <w:pStyle w:val="BodyText"/>
      </w:pPr>
      <m:oMathPara>
        <m:oMathParaPr>
          <m:jc m:val="center"/>
        </m:oMathParaPr>
        <m:oMath>
          <m:sSub>
            <m:e>
              <m:r>
                <m:t>S</m:t>
              </m:r>
            </m:e>
            <m:sub>
              <m:r>
                <m:t>i</m:t>
              </m:r>
            </m:sub>
          </m:sSub>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t>V</m:t>
          </m:r>
          <m:r>
            <m:rPr>
              <m:sty m:val="p"/>
            </m:rPr>
            <m:t>.</m:t>
          </m:r>
        </m:oMath>
      </m:oMathPara>
    </w:p>
    <w:p>
      <w:pPr>
        <w:pStyle w:val="FirstParagraph"/>
      </w:pPr>
      <w:r>
        <w:t xml:space="preserve">Retiramos la pared. El sistema final tiene</w:t>
      </w:r>
      <w:r>
        <w:t xml:space="preserve"> </w:t>
      </w:r>
      <m:oMath>
        <m:r>
          <m:t>2</m:t>
        </m:r>
        <m:r>
          <m:t>N</m:t>
        </m:r>
      </m:oMath>
      <w:r>
        <w:t xml:space="preserve"> </w:t>
      </w:r>
      <w:r>
        <w:t xml:space="preserve">partículas en volumen</w:t>
      </w:r>
      <w:r>
        <w:t xml:space="preserve"> </w:t>
      </w:r>
      <m:oMath>
        <m:r>
          <m:t>2</m:t>
        </m:r>
        <m:r>
          <m:t>V</m:t>
        </m:r>
      </m:oMath>
      <w:r>
        <w:t xml:space="preserve"> </w:t>
      </w:r>
      <w:r>
        <w:t xml:space="preserve">a temperatura</w:t>
      </w:r>
      <w:r>
        <w:t xml:space="preserve"> </w:t>
      </w:r>
      <m:oMath>
        <m:r>
          <m:t>T</m:t>
        </m:r>
      </m:oMath>
      <w:r>
        <w:t xml:space="preserve"> </w:t>
      </w:r>
      <w:r>
        <w:t xml:space="preserve">(no hay transferencia de energía). Entropía final:</w:t>
      </w:r>
    </w:p>
    <w:p>
      <w:pPr>
        <w:pStyle w:val="BodyText"/>
      </w:pPr>
      <m:oMathPara>
        <m:oMathParaPr>
          <m:jc m:val="center"/>
        </m:oMathParaPr>
        <m:oMath>
          <m:sSub>
            <m:e>
              <m:r>
                <m:t>S</m:t>
              </m:r>
            </m:e>
            <m:sub>
              <m:r>
                <m:t>f</m:t>
              </m:r>
            </m:sub>
          </m:sSub>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d>
            <m:dPr>
              <m:begChr m:val="("/>
              <m:endChr m:val=")"/>
              <m:sepChr m:val=""/>
              <m:grow/>
            </m:dPr>
            <m:e>
              <m:r>
                <m:t>2</m:t>
              </m:r>
              <m:r>
                <m:t>V</m:t>
              </m:r>
            </m:e>
          </m:d>
          <m:r>
            <m:rPr>
              <m:sty m:val="p"/>
            </m:rPr>
            <m:t>.</m:t>
          </m:r>
        </m:oMath>
      </m:oMathPara>
    </w:p>
    <w:p>
      <w:pPr>
        <w:pStyle w:val="FirstParagraph"/>
      </w:pPr>
      <w:r>
        <w:t xml:space="preserve">La diferencia es:</w:t>
      </w:r>
    </w:p>
    <w:p>
      <w:pPr>
        <w:pStyle w:val="BodyText"/>
      </w:pPr>
      <m:oMathPara>
        <m:oMathParaPr>
          <m:jc m:val="center"/>
        </m:oMathParaPr>
        <m:oMath>
          <m:r>
            <m:t>Δ</m:t>
          </m:r>
          <m:r>
            <m:t>S</m:t>
          </m:r>
          <m:r>
            <m:rPr>
              <m:sty m:val="p"/>
            </m:rPr>
            <m:t>=</m:t>
          </m:r>
          <m:r>
            <m:t>2</m:t>
          </m:r>
          <m:r>
            <m:t>N</m:t>
          </m:r>
          <m:sSub>
            <m:e>
              <m:r>
                <m:t>k</m:t>
              </m:r>
            </m:e>
            <m:sub>
              <m:r>
                <m:t>B</m:t>
              </m:r>
            </m:sub>
          </m:sSub>
          <m:r>
            <m:rPr>
              <m:sty m:val="p"/>
            </m:rPr>
            <m:t>ln</m:t>
          </m:r>
          <m:r>
            <m:t>2</m:t>
          </m:r>
          <m:r>
            <m:rPr>
              <m:sty m:val="p"/>
            </m:rPr>
            <m:t>&gt;</m:t>
          </m:r>
          <m:r>
            <m:t>0</m:t>
          </m:r>
          <m:r>
            <m:rPr>
              <m:sty m:val="p"/>
            </m:rPr>
            <m:t>.</m:t>
          </m:r>
        </m:oMath>
      </m:oMathPara>
    </w:p>
    <w:p>
      <w:pPr>
        <w:pStyle w:val="FirstParagraph"/>
      </w:pPr>
      <w:r>
        <w:t xml:space="preserve">Para un mol,</w:t>
      </w:r>
      <w:r>
        <w:t xml:space="preserve"> </w:t>
      </w:r>
      <m:oMath>
        <m:r>
          <m:t>Δ</m:t>
        </m:r>
        <m:r>
          <m:t>S</m:t>
        </m:r>
        <m:r>
          <m:rPr>
            <m:sty m:val="p"/>
          </m:rPr>
          <m:t>≈</m:t>
        </m:r>
        <m:r>
          <m:t>11.5</m:t>
        </m:r>
        <m:r>
          <m:t> </m:t>
        </m:r>
        <m:r>
          <m:rPr>
            <m:nor/>
            <m:sty m:val="p"/>
          </m:rPr>
          <m:t>J/K</m:t>
        </m:r>
      </m:oMath>
      <w:r>
        <w:t xml:space="preserve"> </w:t>
      </w:r>
      <w:r>
        <w:t xml:space="preserve">— perfectamente medible — sin que haya ocurrido ningún proceso físico observable. Esto contradice la experiencia directa. La raíz del problema es que</w:t>
      </w:r>
      <w:r>
        <w:t xml:space="preserve"> </w:t>
      </w:r>
      <m:oMath>
        <m:r>
          <m:t>S</m:t>
        </m:r>
        <m:r>
          <m:rPr>
            <m:sty m:val="p"/>
          </m:rPr>
          <m:t>∝</m:t>
        </m:r>
        <m:r>
          <m:t>N</m:t>
        </m:r>
        <m:sSub>
          <m:e>
            <m:r>
              <m:t>k</m:t>
            </m:r>
          </m:e>
          <m:sub>
            <m:r>
              <m:t>B</m:t>
            </m:r>
          </m:sub>
        </m:sSub>
        <m:r>
          <m:rPr>
            <m:sty m:val="p"/>
          </m:rPr>
          <m:t>ln</m:t>
        </m:r>
        <m:r>
          <m:t>V</m:t>
        </m:r>
      </m:oMath>
      <w:r>
        <w:t xml:space="preserve"> </w:t>
      </w:r>
      <w:r>
        <w:t xml:space="preserve">no es extensiva: al duplicar</w:t>
      </w:r>
      <w:r>
        <w:t xml:space="preserve"> </w:t>
      </w:r>
      <m:oMath>
        <m:r>
          <m:t>N</m:t>
        </m:r>
      </m:oMath>
      <w:r>
        <w:t xml:space="preserve"> </w:t>
      </w:r>
      <w:r>
        <w:t xml:space="preserve">y</w:t>
      </w:r>
      <w:r>
        <w:t xml:space="preserve"> </w:t>
      </w:r>
      <m:oMath>
        <m:r>
          <m:t>V</m:t>
        </m:r>
      </m:oMath>
      <w:r>
        <w:t xml:space="preserve"> </w:t>
      </w:r>
      <w:r>
        <w:t xml:space="preserve">manteniendo</w:t>
      </w:r>
      <w:r>
        <w:t xml:space="preserve"> </w:t>
      </w:r>
      <m:oMath>
        <m:r>
          <m:t>T</m:t>
        </m:r>
      </m:oMath>
      <w:r>
        <w:t xml:space="preserve"> </w:t>
      </w:r>
      <w:r>
        <w:t xml:space="preserve">fijo, la entropía no se duplica.</w:t>
      </w:r>
    </w:p>
    <w:bookmarkEnd w:id="25"/>
    <w:bookmarkStart w:id="26" w:name="X2c9942851e068766c503997203ad3892e899580"/>
    <w:p>
      <w:pPr>
        <w:pStyle w:val="Heading3"/>
      </w:pPr>
      <w:r>
        <w:t xml:space="preserve">3.4 Resolución: Sackur–Tetrode y la indistinguibilidad</w:t>
      </w:r>
    </w:p>
    <w:p>
      <w:pPr>
        <w:pStyle w:val="FirstParagraph"/>
      </w:pPr>
      <w:r>
        <w:t xml:space="preserve">La mecánica estadística de Boltzmann define</w:t>
      </w:r>
      <w:r>
        <w:t xml:space="preserve"> </w:t>
      </w:r>
      <m:oMath>
        <m:r>
          <m:t>S</m:t>
        </m:r>
        <m:r>
          <m:rPr>
            <m:sty m:val="p"/>
          </m:rPr>
          <m:t>=</m:t>
        </m:r>
        <m:sSub>
          <m:e>
            <m:r>
              <m:t>k</m:t>
            </m:r>
          </m:e>
          <m:sub>
            <m:r>
              <m:t>B</m:t>
            </m:r>
          </m:sub>
        </m:sSub>
        <m:r>
          <m:rPr>
            <m:sty m:val="p"/>
          </m:rPr>
          <m:t>ln</m:t>
        </m:r>
        <m:r>
          <m:t>Ω</m:t>
        </m:r>
      </m:oMath>
      <w:r>
        <w:t xml:space="preserve">, donde</w:t>
      </w:r>
      <w:r>
        <w:t xml:space="preserve"> </w:t>
      </w:r>
      <m:oMath>
        <m:r>
          <m:t>Ω</m:t>
        </m:r>
      </m:oMath>
      <w:r>
        <w:t xml:space="preserve"> </w:t>
      </w:r>
      <w:r>
        <w:t xml:space="preserve">es el número de microestados compatibles con el macroestado del sistema. Para un gas clásico de</w:t>
      </w:r>
      <w:r>
        <w:t xml:space="preserve"> </w:t>
      </w:r>
      <m:oMath>
        <m:r>
          <m:t>N</m:t>
        </m:r>
      </m:oMath>
      <w:r>
        <w:t xml:space="preserve"> </w:t>
      </w:r>
      <w:r>
        <w:t xml:space="preserve">partículas distinguibles, ese conteo produce exactamente la entropía no extensiva que genera la paradoja.</w:t>
      </w:r>
    </w:p>
    <w:p>
      <w:pPr>
        <w:pStyle w:val="BodyText"/>
      </w:pPr>
      <w:r>
        <w:t xml:space="preserve">La corrección de Gibbs es conceptualmente directa: permutar dos moléculas idénticas de la misma especie no produce un estado físicamente nuevo. Las</w:t>
      </w:r>
      <w:r>
        <w:t xml:space="preserve"> </w:t>
      </w:r>
      <m:oMath>
        <m:r>
          <m:t>N</m:t>
        </m:r>
        <m:r>
          <m:rPr>
            <m:sty m:val="p"/>
          </m:rPr>
          <m:t>!</m:t>
        </m:r>
      </m:oMath>
      <w:r>
        <w:t xml:space="preserve"> </w:t>
      </w:r>
      <w:r>
        <w:t xml:space="preserve">permutaciones posibles corresponden todas al mismo estado, por lo que el conteo debe dividirse entre</w:t>
      </w:r>
      <w:r>
        <w:t xml:space="preserve"> </w:t>
      </w:r>
      <m:oMath>
        <m:r>
          <m:t>N</m:t>
        </m:r>
        <m:r>
          <m:rPr>
            <m:sty m:val="p"/>
          </m:rPr>
          <m:t>!</m:t>
        </m:r>
      </m:oMath>
      <w:r>
        <w:t xml:space="preserve">. Además, el espacio de fases continuo requiere una celda mínima de tamaño</w:t>
      </w:r>
      <w:r>
        <w:t xml:space="preserve"> </w:t>
      </w:r>
      <m:oMath>
        <m:sSup>
          <m:e>
            <m:r>
              <m:t>h</m:t>
            </m:r>
          </m:e>
          <m:sup>
            <m:r>
              <m:t>3</m:t>
            </m:r>
          </m:sup>
        </m:sSup>
      </m:oMath>
      <w:r>
        <w:t xml:space="preserve"> </w:t>
      </w:r>
      <w:r>
        <w:t xml:space="preserve">por partícula — la constante de Planck — para que el número de estados sea finito y contable.</w:t>
      </w:r>
    </w:p>
    <w:p>
      <w:pPr>
        <w:pStyle w:val="BodyText"/>
      </w:pPr>
      <w:r>
        <w:t xml:space="preserve">Aplicando</w:t>
      </w:r>
      <w:r>
        <w:t xml:space="preserve"> </w:t>
      </w:r>
      <m:oMath>
        <m:r>
          <m:t>S</m:t>
        </m:r>
        <m:r>
          <m:rPr>
            <m:sty m:val="p"/>
          </m:rPr>
          <m:t>=</m:t>
        </m:r>
        <m:sSub>
          <m:e>
            <m:r>
              <m:t>k</m:t>
            </m:r>
          </m:e>
          <m:sub>
            <m:r>
              <m:t>B</m:t>
            </m:r>
          </m:sub>
        </m:sSub>
        <m:r>
          <m:rPr>
            <m:sty m:val="p"/>
          </m:rPr>
          <m:t>ln</m:t>
        </m:r>
        <m:r>
          <m:t>Ω</m:t>
        </m:r>
      </m:oMath>
      <w:r>
        <w:t xml:space="preserve"> </w:t>
      </w:r>
      <w:r>
        <w:t xml:space="preserve">con la corrección de indistinguibilidad y la aproximación de Stirling (</w:t>
      </w:r>
      <m:oMath>
        <m:r>
          <m:rPr>
            <m:sty m:val="p"/>
          </m:rPr>
          <m:t>ln</m:t>
        </m:r>
        <m:r>
          <m:t>n</m:t>
        </m:r>
        <m:r>
          <m:rPr>
            <m:sty m:val="p"/>
          </m:rPr>
          <m:t>!</m:t>
        </m:r>
        <m:r>
          <m:rPr>
            <m:sty m:val="p"/>
          </m:rPr>
          <m:t>≈</m:t>
        </m:r>
        <m:r>
          <m:t>n</m:t>
        </m:r>
        <m:r>
          <m:rPr>
            <m:sty m:val="p"/>
          </m:rPr>
          <m:t>ln</m:t>
        </m:r>
        <m:r>
          <m:t>n</m:t>
        </m:r>
        <m:r>
          <m:rPr>
            <m:sty m:val="p"/>
          </m:rPr>
          <m:t>−</m:t>
        </m:r>
        <m:r>
          <m:t>n</m:t>
        </m:r>
      </m:oMath>
      <w:r>
        <w:t xml:space="preserve">), se obtiene la</w:t>
      </w:r>
      <w:r>
        <w:t xml:space="preserve"> </w:t>
      </w:r>
      <w:r>
        <w:rPr>
          <w:b/>
          <w:bCs/>
        </w:rPr>
        <w:t xml:space="preserve">fórmula de Sackur–Tetrode</w:t>
      </w:r>
      <w:r>
        <w:t xml:space="preserve"> </w:t>
      </w:r>
      <w:r>
        <w:t xml:space="preserve">(1911–12):</w:t>
      </w:r>
    </w:p>
    <w:p>
      <w:pPr>
        <w:pStyle w:val="BodyText"/>
      </w:pPr>
      <m:oMathPara>
        <m:oMathParaPr>
          <m:jc m:val="center"/>
        </m:oMathParaPr>
        <m:oMath>
          <m:borderBox>
            <m:e>
              <m:sSub>
                <m:e>
                  <m:r>
                    <m:t>S</m:t>
                  </m:r>
                </m:e>
                <m:sub>
                  <m:r>
                    <m:rPr>
                      <m:nor/>
                      <m:sty m:val="p"/>
                    </m:rPr>
                    <m:t>ST</m:t>
                  </m:r>
                </m:sub>
              </m:sSub>
              <m:r>
                <m:rPr>
                  <m:sty m:val="p"/>
                </m:rPr>
                <m:t>=</m:t>
              </m:r>
              <m:r>
                <m:t>N</m:t>
              </m:r>
              <m:sSub>
                <m:e>
                  <m:r>
                    <m:t>k</m:t>
                  </m:r>
                </m:e>
                <m:sub>
                  <m:r>
                    <m:t>B</m:t>
                  </m:r>
                </m:sub>
              </m:sSub>
              <m:d>
                <m:dPr>
                  <m:begChr m:val="["/>
                  <m:endChr m:val="]"/>
                  <m:sepChr m:val=""/>
                  <m:grow/>
                </m:dPr>
                <m:e>
                  <m:r>
                    <m:rPr>
                      <m:sty m:val="p"/>
                    </m:rPr>
                    <m:t>ln</m:t>
                  </m:r>
                  <m:f>
                    <m:fPr>
                      <m:type m:val="bar"/>
                    </m:fPr>
                    <m:num>
                      <m:r>
                        <m:t>V</m:t>
                      </m:r>
                    </m:num>
                    <m:den>
                      <m:r>
                        <m:t>N</m:t>
                      </m:r>
                    </m:den>
                  </m:f>
                  <m:sSup>
                    <m:e>
                      <m:d>
                        <m:dPr>
                          <m:begChr m:val="("/>
                          <m:endChr m:val=")"/>
                          <m:sep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e>
          </m:borderBox>
        </m:oMath>
      </m:oMathPara>
    </w:p>
    <w:p>
      <w:pPr>
        <w:pStyle w:val="FirstParagraph"/>
      </w:pPr>
      <w:r>
        <w:t xml:space="preserve">Esta expresión es extensiva:</w:t>
      </w:r>
      <w:r>
        <w:t xml:space="preserve"> </w:t>
      </w:r>
      <m:oMath>
        <m:sSub>
          <m:e>
            <m:r>
              <m:t>S</m:t>
            </m:r>
          </m:e>
          <m:sub>
            <m:r>
              <m:rPr>
                <m:nor/>
                <m:sty m:val="p"/>
              </m:rPr>
              <m:t>ST</m:t>
            </m:r>
          </m:sub>
        </m:sSub>
        <m:d>
          <m:dPr>
            <m:begChr m:val="("/>
            <m:endChr m:val=")"/>
            <m:sepChr m:val=""/>
            <m:grow/>
          </m:dPr>
          <m:e>
            <m:r>
              <m:t>2</m:t>
            </m:r>
            <m:r>
              <m:t>N</m:t>
            </m:r>
            <m:r>
              <m:rPr>
                <m:sty m:val="p"/>
              </m:rPr>
              <m:t>,</m:t>
            </m:r>
            <m:r>
              <m:t>2</m:t>
            </m:r>
            <m:r>
              <m:t>V</m:t>
            </m:r>
            <m:r>
              <m:rPr>
                <m:sty m:val="p"/>
              </m:rPr>
              <m:t>,</m:t>
            </m:r>
            <m:r>
              <m:t>T</m:t>
            </m:r>
          </m:e>
        </m:d>
        <m:r>
          <m:rPr>
            <m:sty m:val="p"/>
          </m:rPr>
          <m:t>=</m:t>
        </m:r>
        <m:r>
          <m:t>2</m:t>
        </m:r>
        <m:r>
          <m:t> </m:t>
        </m:r>
        <m:sSub>
          <m:e>
            <m:r>
              <m:t>S</m:t>
            </m:r>
          </m:e>
          <m:sub>
            <m:r>
              <m:rPr>
                <m:nor/>
                <m:sty m:val="p"/>
              </m:rPr>
              <m:t>ST</m:t>
            </m:r>
          </m:sub>
        </m:sSub>
        <m:d>
          <m:dPr>
            <m:begChr m:val="("/>
            <m:endChr m:val=")"/>
            <m:sepChr m:val=""/>
            <m:grow/>
          </m:dPr>
          <m:e>
            <m:r>
              <m:t>N</m:t>
            </m:r>
            <m:r>
              <m:rPr>
                <m:sty m:val="p"/>
              </m:rPr>
              <m:t>,</m:t>
            </m:r>
            <m:r>
              <m:t>V</m:t>
            </m:r>
            <m:r>
              <m:rPr>
                <m:sty m:val="p"/>
              </m:rPr>
              <m:t>,</m:t>
            </m:r>
            <m:r>
              <m:t>T</m:t>
            </m:r>
          </m:e>
        </m:d>
      </m:oMath>
      <w:r>
        <w:t xml:space="preserve">, pues el cociente</w:t>
      </w:r>
      <w:r>
        <w:t xml:space="preserve"> </w:t>
      </w:r>
      <m:oMath>
        <m:r>
          <m:t>V</m:t>
        </m:r>
        <m:r>
          <m:rPr>
            <m:sty m:val="p"/>
          </m:rPr>
          <m:t>/</m:t>
        </m:r>
        <m:r>
          <m:t>N</m:t>
        </m:r>
      </m:oMath>
      <w:r>
        <w:t xml:space="preserve"> </w:t>
      </w:r>
      <w:r>
        <w:t xml:space="preserve">permanece invariante al escalar. La paradoja desaparece:</w:t>
      </w:r>
      <w:r>
        <w:t xml:space="preserve"> </w:t>
      </w:r>
      <m:oMath>
        <m:r>
          <m:t>Δ</m:t>
        </m:r>
        <m:sSub>
          <m:e>
            <m:r>
              <m:t>S</m:t>
            </m:r>
          </m:e>
          <m:sub>
            <m:r>
              <m:rPr>
                <m:nor/>
                <m:sty m:val="p"/>
              </m:rPr>
              <m:t>mezcla</m:t>
            </m:r>
          </m:sub>
        </m:sSub>
        <m:r>
          <m:rPr>
            <m:sty m:val="p"/>
          </m:rPr>
          <m:t>=</m:t>
        </m:r>
        <m:r>
          <m:t>0</m:t>
        </m:r>
      </m:oMath>
      <w:r>
        <w:t xml:space="preserve"> </w:t>
      </w:r>
      <w:r>
        <w:t xml:space="preserve">para gases idénticos.</w:t>
      </w:r>
    </w:p>
    <w:p>
      <w:pPr>
        <w:pStyle w:val="BodyText"/>
      </w:pPr>
      <w:r>
        <w:t xml:space="preserve">Nótese además que</w:t>
      </w:r>
      <w:r>
        <w:t xml:space="preserve"> </w:t>
      </w:r>
      <m:oMath>
        <m:r>
          <m:t>h</m:t>
        </m:r>
      </m:oMath>
      <w:r>
        <w:t xml:space="preserve"> </w:t>
      </w:r>
      <w:r>
        <w:t xml:space="preserve">es necesario para calcular el valor absoluto de la entropía: la constante de integración</w:t>
      </w:r>
      <w:r>
        <w:t xml:space="preserve"> </w:t>
      </w:r>
      <m:oMath>
        <m:r>
          <m:t>C</m:t>
        </m:r>
        <m:d>
          <m:dPr>
            <m:begChr m:val="("/>
            <m:endChr m:val=")"/>
            <m:sepChr m:val=""/>
            <m:grow/>
          </m:dPr>
          <m:e>
            <m:r>
              <m:t>N</m:t>
            </m:r>
          </m:e>
        </m:d>
      </m:oMath>
      <w:r>
        <w:t xml:space="preserve"> </w:t>
      </w:r>
      <w:r>
        <w:t xml:space="preserve">que la termodinámica dejaba libre queda determinada por la mecánica estadística cuántica. La pregunta inicial tiene ahora una respuesta concreta.</w:t>
      </w:r>
    </w:p>
    <w:bookmarkEnd w:id="26"/>
    <w:bookmarkStart w:id="27" w:name="entropía-del-gas-de-van-der-waals"/>
    <w:p>
      <w:pPr>
        <w:pStyle w:val="Heading3"/>
      </w:pPr>
      <w:r>
        <w:t xml:space="preserve">3.5 Entropía del gas de Van der Waals</w:t>
      </w:r>
    </w:p>
    <w:p>
      <w:pPr>
        <w:pStyle w:val="FirstParagraph"/>
      </w:pPr>
      <w:r>
        <w:t xml:space="preserve">La ecuación de Van der Waals corrige el gas ideal incorporando el volumen excluido</w:t>
      </w:r>
      <w:r>
        <w:t xml:space="preserve"> </w:t>
      </w:r>
      <m:oMath>
        <m:r>
          <m:t>b</m:t>
        </m:r>
      </m:oMath>
      <w:r>
        <w:t xml:space="preserve"> </w:t>
      </w:r>
      <w:r>
        <w:t xml:space="preserve">(volumen propio de las moléculas) y las atracciones moleculares</w:t>
      </w:r>
      <w:r>
        <w:t xml:space="preserve"> </w:t>
      </w:r>
      <m:oMath>
        <m:r>
          <m:t>a</m:t>
        </m:r>
      </m:oMath>
      <w:r>
        <w:t xml:space="preserve">:</w:t>
      </w:r>
    </w:p>
    <w:p>
      <w:pPr>
        <w:pStyle w:val="BodyText"/>
      </w:pPr>
      <m:oMathPara>
        <m:oMathParaPr>
          <m:jc m:val="center"/>
        </m:oMathParaPr>
        <m:oMath>
          <m:d>
            <m:dPr>
              <m:begChr m:val="("/>
              <m:endChr m:val=")"/>
              <m:sepChr m:val=""/>
              <m:grow/>
            </m:dPr>
            <m:e>
              <m:r>
                <m:t>P</m:t>
              </m:r>
              <m:r>
                <m:rPr>
                  <m:sty m:val="p"/>
                </m:rPr>
                <m:t>+</m:t>
              </m:r>
              <m:f>
                <m:fPr>
                  <m:type m:val="bar"/>
                </m:fPr>
                <m:num>
                  <m:r>
                    <m:t>a</m:t>
                  </m:r>
                  <m:sSup>
                    <m:e>
                      <m:r>
                        <m:t>N</m:t>
                      </m:r>
                    </m:e>
                    <m:sup>
                      <m:r>
                        <m:t>2</m:t>
                      </m:r>
                    </m:sup>
                  </m:sSup>
                </m:num>
                <m:den>
                  <m:sSup>
                    <m:e>
                      <m:r>
                        <m:t>V</m:t>
                      </m:r>
                    </m:e>
                    <m:sup>
                      <m:r>
                        <m:t>2</m:t>
                      </m:r>
                    </m:sup>
                  </m:sSup>
                </m:den>
              </m:f>
            </m:e>
          </m:d>
          <m:d>
            <m:dPr>
              <m:begChr m:val="("/>
              <m:endChr m:val=")"/>
              <m:sepChr m:val=""/>
              <m:grow/>
            </m:dPr>
            <m:e>
              <m:r>
                <m:t>V</m:t>
              </m:r>
              <m:r>
                <m:rPr>
                  <m:sty m:val="p"/>
                </m:rPr>
                <m:t>−</m:t>
              </m:r>
              <m:r>
                <m:t>N</m:t>
              </m:r>
              <m:r>
                <m:t>b</m:t>
              </m:r>
            </m:e>
          </m:d>
          <m:r>
            <m:rPr>
              <m:sty m:val="p"/>
            </m:rPr>
            <m:t>=</m:t>
          </m:r>
          <m:r>
            <m:t>N</m:t>
          </m:r>
          <m:sSub>
            <m:e>
              <m:r>
                <m:t>k</m:t>
              </m:r>
            </m:e>
            <m:sub>
              <m:r>
                <m:t>B</m:t>
              </m:r>
            </m:sub>
          </m:sSub>
          <m:r>
            <m:t>T</m:t>
          </m:r>
          <m:r>
            <m:rPr>
              <m:sty m:val="p"/>
            </m:rPr>
            <m:t>.</m:t>
          </m:r>
        </m:oMath>
      </m:oMathPara>
    </w:p>
    <w:p>
      <w:pPr>
        <w:pStyle w:val="FirstParagraph"/>
      </w:pPr>
      <w:r>
        <w:t xml:space="preserve">Para calcular</w:t>
      </w:r>
      <w:r>
        <w:t xml:space="preserve"> </w:t>
      </w:r>
      <m:oMath>
        <m:r>
          <m:t>d</m:t>
        </m:r>
        <m:r>
          <m:t>S</m:t>
        </m:r>
      </m:oMath>
      <w:r>
        <w:t xml:space="preserve">, se necesita la derivada de la energía interna respecto al volumen a temperatura constante. Por la relación de Maxwell derivada de la energía libre de Helmholtz:</w:t>
      </w:r>
    </w:p>
    <w:p>
      <w:pPr>
        <w:pStyle w:val="BodyText"/>
      </w:pPr>
      <m:oMathPara>
        <m:oMathParaPr>
          <m:jc m:val="center"/>
        </m:oMathParaPr>
        <m:oMath>
          <m:sSub>
            <m:e>
              <m:d>
                <m:dPr>
                  <m:begChr m:val="("/>
                  <m:endChr m:val=")"/>
                  <m:sepChr m:val=""/>
                  <m:grow/>
                </m:dPr>
                <m:e>
                  <m:f>
                    <m:fPr>
                      <m:type m:val="bar"/>
                    </m:fPr>
                    <m:num>
                      <m:r>
                        <m:rPr>
                          <m:sty m:val="p"/>
                        </m:rPr>
                        <m:t>∂</m:t>
                      </m:r>
                      <m:r>
                        <m:t>U</m:t>
                      </m:r>
                    </m:num>
                    <m:den>
                      <m:r>
                        <m:rPr>
                          <m:sty m:val="p"/>
                        </m:rPr>
                        <m:t>∂</m:t>
                      </m:r>
                      <m:r>
                        <m:t>V</m:t>
                      </m:r>
                    </m:den>
                  </m:f>
                </m:e>
              </m:d>
            </m:e>
            <m:sub>
              <m:r>
                <m:t>T</m:t>
              </m:r>
            </m:sub>
          </m:sSub>
          <m:r>
            <m:rPr>
              <m:sty m:val="p"/>
            </m:rPr>
            <m:t>=</m:t>
          </m:r>
          <m:r>
            <m:t>T</m:t>
          </m:r>
          <m:sSub>
            <m:e>
              <m:d>
                <m:dPr>
                  <m:begChr m:val="("/>
                  <m:endChr m:val=")"/>
                  <m:sepChr m:val=""/>
                  <m:grow/>
                </m:dPr>
                <m:e>
                  <m:f>
                    <m:fPr>
                      <m:type m:val="bar"/>
                    </m:fPr>
                    <m:num>
                      <m:r>
                        <m:rPr>
                          <m:sty m:val="p"/>
                        </m:rPr>
                        <m:t>∂</m:t>
                      </m:r>
                      <m:r>
                        <m:t>P</m:t>
                      </m:r>
                    </m:num>
                    <m:den>
                      <m:r>
                        <m:rPr>
                          <m:sty m:val="p"/>
                        </m:rPr>
                        <m:t>∂</m:t>
                      </m:r>
                      <m:r>
                        <m:t>T</m:t>
                      </m:r>
                    </m:den>
                  </m:f>
                </m:e>
              </m:d>
            </m:e>
            <m:sub>
              <m:r>
                <m:t>V</m:t>
              </m:r>
            </m:sub>
          </m:sSub>
          <m:r>
            <m:rPr>
              <m:sty m:val="p"/>
            </m:rPr>
            <m:t>−</m:t>
          </m:r>
          <m:r>
            <m:t>P</m:t>
          </m:r>
          <m:r>
            <m:rPr>
              <m:sty m:val="p"/>
            </m:rPr>
            <m:t>=</m:t>
          </m:r>
          <m:f>
            <m:fPr>
              <m:type m:val="bar"/>
            </m:fPr>
            <m:num>
              <m:r>
                <m:t>a</m:t>
              </m:r>
              <m:sSup>
                <m:e>
                  <m:r>
                    <m:t>N</m:t>
                  </m:r>
                </m:e>
                <m:sup>
                  <m:r>
                    <m:t>2</m:t>
                  </m:r>
                </m:sup>
              </m:sSup>
            </m:num>
            <m:den>
              <m:sSup>
                <m:e>
                  <m:r>
                    <m:t>V</m:t>
                  </m:r>
                </m:e>
                <m:sup>
                  <m:r>
                    <m:t>2</m:t>
                  </m:r>
                </m:sup>
              </m:sSup>
            </m:den>
          </m:f>
          <m:r>
            <m:rPr>
              <m:sty m:val="p"/>
            </m:rPr>
            <m:t>.</m:t>
          </m:r>
        </m:oMath>
      </m:oMathPara>
    </w:p>
    <w:p>
      <w:pPr>
        <w:pStyle w:val="FirstParagraph"/>
      </w:pPr>
      <w:r>
        <w:t xml:space="preserve">Este término representa la energía potencial de las atracciones intermoleculares. Sustituyendo en</w:t>
      </w:r>
      <w:r>
        <w:t xml:space="preserve"> </w:t>
      </w:r>
      <m:oMath>
        <m:r>
          <m:t>d</m:t>
        </m:r>
        <m:r>
          <m:t>S</m:t>
        </m:r>
        <m:r>
          <m:rPr>
            <m:sty m:val="p"/>
          </m:rPr>
          <m:t>=</m:t>
        </m:r>
        <m:d>
          <m:dPr>
            <m:begChr m:val="("/>
            <m:endChr m:val=")"/>
            <m:sepChr m:val=""/>
            <m:grow/>
          </m:dPr>
          <m:e>
            <m:r>
              <m:t>d</m:t>
            </m:r>
            <m:r>
              <m:t>U</m:t>
            </m:r>
            <m:r>
              <m:rPr>
                <m:sty m:val="p"/>
              </m:rPr>
              <m:t>+</m:t>
            </m:r>
            <m:r>
              <m:t>P</m:t>
            </m:r>
            <m:r>
              <m:t> </m:t>
            </m:r>
            <m:r>
              <m:t>d</m:t>
            </m:r>
            <m:r>
              <m:t>V</m:t>
            </m:r>
          </m:e>
        </m:d>
        <m:r>
          <m:rPr>
            <m:sty m:val="p"/>
          </m:rPr>
          <m:t>/</m:t>
        </m:r>
        <m:r>
          <m:t>T</m:t>
        </m:r>
      </m:oMath>
      <w:r>
        <w:t xml:space="preserve">, los términos con</w:t>
      </w:r>
      <w:r>
        <w:t xml:space="preserve"> </w:t>
      </w:r>
      <m:oMath>
        <m:r>
          <m:t>a</m:t>
        </m:r>
      </m:oMath>
      <w:r>
        <w:t xml:space="preserve"> </w:t>
      </w:r>
      <w:r>
        <w:t xml:space="preserve">se cancelan exactamente: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f>
            <m:fPr>
              <m:type m:val="bar"/>
            </m:fPr>
            <m:num>
              <m:r>
                <m:t>N</m:t>
              </m:r>
              <m:sSub>
                <m:e>
                  <m:r>
                    <m:t>k</m:t>
                  </m:r>
                </m:e>
                <m:sub>
                  <m:r>
                    <m:t>B</m:t>
                  </m:r>
                </m:sub>
              </m:sSub>
            </m:num>
            <m:den>
              <m:r>
                <m:t>V</m:t>
              </m:r>
              <m:r>
                <m:rPr>
                  <m:sty m:val="p"/>
                </m:rPr>
                <m:t>−</m:t>
              </m:r>
              <m:r>
                <m:t>N</m:t>
              </m:r>
              <m:r>
                <m:t>b</m:t>
              </m:r>
            </m:den>
          </m:f>
          <m:r>
            <m:t> </m:t>
          </m:r>
          <m:r>
            <m:t>d</m:t>
          </m:r>
          <m:r>
            <m:t>V</m:t>
          </m:r>
          <m:r>
            <m:rPr>
              <m:sty m:val="p"/>
            </m:rPr>
            <m:t>.</m:t>
          </m:r>
        </m:oMath>
      </m:oMathPara>
    </w:p>
    <w:p>
      <w:pPr>
        <w:pStyle w:val="FirstParagraph"/>
      </w:pPr>
      <w:r>
        <w:t xml:space="preserve">Integrando:</w:t>
      </w:r>
    </w:p>
    <w:p>
      <w:pPr>
        <w:pStyle w:val="BodyText"/>
      </w:pPr>
      <m:oMathPara>
        <m:oMathParaPr>
          <m:jc m:val="center"/>
        </m:oMathParaPr>
        <m:oMath>
          <m:borderBox>
            <m:e>
              <m:sSub>
                <m:e>
                  <m:r>
                    <m:t>S</m:t>
                  </m:r>
                </m:e>
                <m:sub>
                  <m:r>
                    <m:rPr>
                      <m:nor/>
                      <m:sty m:val="p"/>
                    </m:rPr>
                    <m:t>VdW</m:t>
                  </m:r>
                </m:sub>
              </m:sSub>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d>
                <m:dPr>
                  <m:begChr m:val="("/>
                  <m:endChr m:val=")"/>
                  <m:sepChr m:val=""/>
                  <m:grow/>
                </m:dPr>
                <m:e>
                  <m:r>
                    <m:t>V</m:t>
                  </m:r>
                  <m:r>
                    <m:rPr>
                      <m:sty m:val="p"/>
                    </m:rPr>
                    <m:t>−</m:t>
                  </m:r>
                  <m:r>
                    <m:t>N</m:t>
                  </m:r>
                  <m:r>
                    <m:t>b</m:t>
                  </m:r>
                </m:e>
              </m:d>
              <m:r>
                <m:rPr>
                  <m:sty m:val="p"/>
                </m:rPr>
                <m:t>+</m:t>
              </m:r>
              <m:r>
                <m:t>C</m:t>
              </m:r>
              <m:r>
                <m:rPr>
                  <m:sty m:val="p"/>
                </m:rPr>
                <m:t>′</m:t>
              </m:r>
              <m:d>
                <m:dPr>
                  <m:begChr m:val="("/>
                  <m:endChr m:val=")"/>
                  <m:sepChr m:val=""/>
                  <m:grow/>
                </m:dPr>
                <m:e>
                  <m:r>
                    <m:t>N</m:t>
                  </m:r>
                </m:e>
              </m:d>
              <m:r>
                <m:rPr>
                  <m:sty m:val="p"/>
                </m:rPr>
                <m:t>.</m:t>
              </m:r>
            </m:e>
          </m:borderBox>
        </m:oMath>
      </m:oMathPara>
    </w:p>
    <w:p>
      <w:pPr>
        <w:pStyle w:val="FirstParagraph"/>
      </w:pPr>
      <w:r>
        <w:rPr>
          <w:b/>
          <w:bCs/>
        </w:rPr>
        <w:t xml:space="preserve">Comparación directa: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Cantidad</w:t>
            </w:r>
          </w:p>
        </w:tc>
        <w:tc>
          <w:tcPr/>
          <w:p>
            <w:pPr>
              <w:pStyle w:val="Compact"/>
              <w:jc w:val="left"/>
            </w:pPr>
            <w:r>
              <w:t xml:space="preserve">Gas ideal</w:t>
            </w:r>
          </w:p>
        </w:tc>
        <w:tc>
          <w:tcPr/>
          <w:p>
            <w:pPr>
              <w:pStyle w:val="Compact"/>
              <w:jc w:val="left"/>
            </w:pPr>
            <w:r>
              <w:t xml:space="preserve">Gas de Van der Waals</w:t>
            </w:r>
          </w:p>
        </w:tc>
      </w:tr>
      <w:tr>
        <w:tc>
          <w:tcPr/>
          <w:p>
            <w:pPr>
              <w:pStyle w:val="Compact"/>
              <w:jc w:val="left"/>
            </w:pPr>
            <w:r>
              <w:t xml:space="preserve">Entropía</w:t>
            </w:r>
          </w:p>
        </w:tc>
        <w:tc>
          <w:tcPr/>
          <w:p>
            <w:pPr>
              <w:pStyle w:val="Compact"/>
              <w:jc w:val="left"/>
            </w:pPr>
            <m:oMath>
              <m:r>
                <m:rPr>
                  <m:sty m:val="p"/>
                </m:rPr>
                <m:t>∼</m:t>
              </m:r>
              <m:r>
                <m:t>N</m:t>
              </m:r>
              <m:sSub>
                <m:e>
                  <m:r>
                    <m:t>k</m:t>
                  </m:r>
                </m:e>
                <m:sub>
                  <m:r>
                    <m:t>B</m:t>
                  </m:r>
                </m:sub>
              </m:sSub>
              <m:r>
                <m:rPr>
                  <m:sty m:val="p"/>
                </m:rPr>
                <m:t>ln</m:t>
              </m:r>
              <m:r>
                <m:t>V</m:t>
              </m:r>
            </m:oMath>
          </w:p>
        </w:tc>
        <w:tc>
          <w:tcPr/>
          <w:p>
            <w:pPr>
              <w:pStyle w:val="Compact"/>
              <w:jc w:val="left"/>
            </w:pPr>
            <m:oMath>
              <m:r>
                <m:rPr>
                  <m:sty m:val="p"/>
                </m:rPr>
                <m:t>∼</m:t>
              </m:r>
              <m:r>
                <m:t>N</m:t>
              </m:r>
              <m:sSub>
                <m:e>
                  <m:r>
                    <m:t>k</m:t>
                  </m:r>
                </m:e>
                <m:sub>
                  <m:r>
                    <m:t>B</m:t>
                  </m:r>
                </m:sub>
              </m:sSub>
              <m:r>
                <m:rPr>
                  <m:sty m:val="p"/>
                </m:rPr>
                <m:t>ln</m:t>
              </m:r>
              <m:d>
                <m:dPr>
                  <m:begChr m:val="("/>
                  <m:endChr m:val=")"/>
                  <m:sepChr m:val=""/>
                  <m:grow/>
                </m:dPr>
                <m:e>
                  <m:r>
                    <m:t>V</m:t>
                  </m:r>
                  <m:r>
                    <m:rPr>
                      <m:sty m:val="p"/>
                    </m:rPr>
                    <m:t>−</m:t>
                  </m:r>
                  <m:r>
                    <m:t>N</m:t>
                  </m:r>
                  <m:r>
                    <m:t>b</m:t>
                  </m:r>
                </m:e>
              </m:d>
            </m:oMath>
          </w:p>
        </w:tc>
      </w:tr>
      <w:tr>
        <w:tc>
          <w:tcPr/>
          <w:p>
            <w:pPr>
              <w:pStyle w:val="Compact"/>
              <w:jc w:val="left"/>
            </w:pPr>
            <w:r>
              <w:t xml:space="preserve">Energía interna</w:t>
            </w:r>
          </w:p>
        </w:tc>
        <w:tc>
          <w:tcPr/>
          <w:p>
            <w:pPr>
              <w:pStyle w:val="Compact"/>
              <w:jc w:val="left"/>
            </w:pPr>
            <m:oMath>
              <m:f>
                <m:fPr>
                  <m:type m:val="bar"/>
                </m:fPr>
                <m:num>
                  <m:r>
                    <m:t>3</m:t>
                  </m:r>
                </m:num>
                <m:den>
                  <m:r>
                    <m:t>2</m:t>
                  </m:r>
                </m:den>
              </m:f>
              <m:r>
                <m:t>N</m:t>
              </m:r>
              <m:sSub>
                <m:e>
                  <m:r>
                    <m:t>k</m:t>
                  </m:r>
                </m:e>
                <m:sub>
                  <m:r>
                    <m:t>B</m:t>
                  </m:r>
                </m:sub>
              </m:sSub>
              <m:r>
                <m:t>T</m:t>
              </m:r>
            </m:oMath>
          </w:p>
        </w:tc>
        <w:tc>
          <w:tcPr/>
          <w:p>
            <w:pPr>
              <w:pStyle w:val="Compact"/>
              <w:jc w:val="left"/>
            </w:pPr>
            <m:oMath>
              <m:f>
                <m:fPr>
                  <m:type m:val="bar"/>
                </m:fPr>
                <m:num>
                  <m:r>
                    <m:t>3</m:t>
                  </m:r>
                </m:num>
                <m:den>
                  <m:r>
                    <m:t>2</m:t>
                  </m:r>
                </m:den>
              </m:f>
              <m:r>
                <m:t>N</m:t>
              </m:r>
              <m:sSub>
                <m:e>
                  <m:r>
                    <m:t>k</m:t>
                  </m:r>
                </m:e>
                <m:sub>
                  <m:r>
                    <m:t>B</m:t>
                  </m:r>
                </m:sub>
              </m:sSub>
              <m:r>
                <m:t>T</m:t>
              </m:r>
              <m:r>
                <m:rPr>
                  <m:sty m:val="p"/>
                </m:rPr>
                <m:t>−</m:t>
              </m:r>
              <m:f>
                <m:fPr>
                  <m:type m:val="bar"/>
                </m:fPr>
                <m:num>
                  <m:r>
                    <m:t>a</m:t>
                  </m:r>
                  <m:sSup>
                    <m:e>
                      <m:r>
                        <m:t>N</m:t>
                      </m:r>
                    </m:e>
                    <m:sup>
                      <m:r>
                        <m:t>2</m:t>
                      </m:r>
                    </m:sup>
                  </m:sSup>
                </m:num>
                <m:den>
                  <m:r>
                    <m:t>V</m:t>
                  </m:r>
                </m:den>
              </m:f>
            </m:oMath>
          </w:p>
        </w:tc>
      </w:tr>
      <w:tr>
        <w:tc>
          <w:tcPr/>
          <w:p>
            <w:pPr>
              <w:pStyle w:val="Compact"/>
              <w:jc w:val="left"/>
            </w:pPr>
            <m:oMath>
              <m:sSub>
                <m:e>
                  <m:r>
                    <m:t>C</m:t>
                  </m:r>
                </m:e>
                <m:sub>
                  <m:r>
                    <m:t>V</m:t>
                  </m:r>
                </m:sub>
              </m:sSub>
            </m:oMath>
          </w:p>
        </w:tc>
        <w:tc>
          <w:tcPr/>
          <w:p>
            <w:pPr>
              <w:pStyle w:val="Compact"/>
              <w:jc w:val="left"/>
            </w:pPr>
            <m:oMath>
              <m:f>
                <m:fPr>
                  <m:type m:val="bar"/>
                </m:fPr>
                <m:num>
                  <m:r>
                    <m:t>3</m:t>
                  </m:r>
                </m:num>
                <m:den>
                  <m:r>
                    <m:t>2</m:t>
                  </m:r>
                </m:den>
              </m:f>
              <m:r>
                <m:t>N</m:t>
              </m:r>
              <m:sSub>
                <m:e>
                  <m:r>
                    <m:t>k</m:t>
                  </m:r>
                </m:e>
                <m:sub>
                  <m:r>
                    <m:t>B</m:t>
                  </m:r>
                </m:sub>
              </m:sSub>
            </m:oMath>
          </w:p>
        </w:tc>
        <w:tc>
          <w:tcPr/>
          <w:p>
            <w:pPr>
              <w:pStyle w:val="Compact"/>
              <w:jc w:val="left"/>
            </w:pPr>
            <m:oMath>
              <m:f>
                <m:fPr>
                  <m:type m:val="bar"/>
                </m:fPr>
                <m:num>
                  <m:r>
                    <m:t>3</m:t>
                  </m:r>
                </m:num>
                <m:den>
                  <m:r>
                    <m:t>2</m:t>
                  </m:r>
                </m:den>
              </m:f>
              <m:r>
                <m:t>N</m:t>
              </m:r>
              <m:sSub>
                <m:e>
                  <m:r>
                    <m:t>k</m:t>
                  </m:r>
                </m:e>
                <m:sub>
                  <m:r>
                    <m:t>B</m:t>
                  </m:r>
                </m:sub>
              </m:sSub>
            </m:oMath>
          </w:p>
        </w:tc>
      </w:tr>
    </w:tbl>
    <w:p>
      <w:pPr>
        <w:pStyle w:val="BodyText"/>
      </w:pPr>
      <w:r>
        <w:t xml:space="preserve">El parámetro</w:t>
      </w:r>
      <w:r>
        <w:t xml:space="preserve"> </w:t>
      </w:r>
      <m:oMath>
        <m:r>
          <m:t>b</m:t>
        </m:r>
      </m:oMath>
      <w:r>
        <w:t xml:space="preserve"> </w:t>
      </w:r>
      <w:r>
        <w:t xml:space="preserve">reduce el volumen libre, disminuyendo los microestados accesibles y por tanto la entropía. El parámetro</w:t>
      </w:r>
      <w:r>
        <w:t xml:space="preserve"> </w:t>
      </w:r>
      <m:oMath>
        <m:r>
          <m:t>a</m:t>
        </m:r>
      </m:oMath>
      <w:r>
        <w:t xml:space="preserve"> </w:t>
      </w:r>
      <w:r>
        <w:t xml:space="preserve">no modifica</w:t>
      </w:r>
      <w:r>
        <w:t xml:space="preserve"> </w:t>
      </w:r>
      <m:oMath>
        <m:r>
          <m:t>S</m:t>
        </m:r>
      </m:oMath>
      <w:r>
        <w:t xml:space="preserve"> </w:t>
      </w:r>
      <w:r>
        <w:t xml:space="preserve">directamente, pero sí</w:t>
      </w:r>
      <w:r>
        <w:t xml:space="preserve"> </w:t>
      </w:r>
      <m:oMath>
        <m:r>
          <m:t>U</m:t>
        </m:r>
      </m:oMath>
      <w:r>
        <w:t xml:space="preserve">: es la fuente del calor latente en la transición de fase,</w:t>
      </w:r>
      <w:r>
        <w:t xml:space="preserve"> </w:t>
      </w:r>
      <m:oMath>
        <m:r>
          <m:t>Δ</m:t>
        </m:r>
        <m:sSub>
          <m:e>
            <m:r>
              <m:t>S</m:t>
            </m:r>
          </m:e>
          <m:sub>
            <m:r>
              <m:rPr>
                <m:nor/>
                <m:sty m:val="p"/>
              </m:rPr>
              <m:t>transición</m:t>
            </m:r>
          </m:sub>
        </m:sSub>
        <m:r>
          <m:rPr>
            <m:sty m:val="p"/>
          </m:rPr>
          <m:t>=</m:t>
        </m:r>
        <m:r>
          <m:t>L</m:t>
        </m:r>
        <m:r>
          <m:rPr>
            <m:sty m:val="p"/>
          </m:rPr>
          <m:t>/</m:t>
        </m:r>
        <m:sSup>
          <m:e>
            <m:r>
              <m:t>T</m:t>
            </m:r>
          </m:e>
          <m:sup>
            <m:r>
              <m:rPr>
                <m:sty m:val="p"/>
              </m:rPr>
              <m:t>*</m:t>
            </m:r>
          </m:sup>
        </m:sSup>
      </m:oMath>
      <w:r>
        <w:t xml:space="preserve">.</w:t>
      </w:r>
    </w:p>
    <w:bookmarkEnd w:id="27"/>
    <w:bookmarkStart w:id="28" w:name="X825d2ac3c11d40d49173cb2852c83b1c407e402"/>
    <w:p>
      <w:pPr>
        <w:pStyle w:val="Heading3"/>
      </w:pPr>
      <w:r>
        <w:t xml:space="preserve">3.6 La entropía como puerta de entrada a la física cuántica</w:t>
      </w:r>
    </w:p>
    <w:p>
      <w:pPr>
        <w:pStyle w:val="FirstParagraph"/>
      </w:pPr>
      <w:r>
        <w:t xml:space="preserve">La fórmula de Sackur–Tetrode contiene la constante de Planck</w:t>
      </w:r>
      <w:r>
        <w:t xml:space="preserve"> </w:t>
      </w:r>
      <m:oMath>
        <m:r>
          <m:t>h</m:t>
        </m:r>
      </m:oMath>
      <w:r>
        <w:t xml:space="preserve">: la entropía absoluta del gas no puede calcularse sin ella. Esta no es una coincidencia. Planck (1900) llegó al mismo</w:t>
      </w:r>
      <w:r>
        <w:t xml:space="preserve"> </w:t>
      </w:r>
      <m:oMath>
        <m:r>
          <m:t>h</m:t>
        </m:r>
      </m:oMath>
      <w:r>
        <w:t xml:space="preserve"> </w:t>
      </w:r>
      <w:r>
        <w:t xml:space="preserve">por un camino completamente distinto, y la conexión entre ambos recorridos revela la profundidad del formalismo.</w:t>
      </w:r>
    </w:p>
    <w:p>
      <w:pPr>
        <w:pStyle w:val="BodyText"/>
      </w:pPr>
      <w:r>
        <w:t xml:space="preserve">La física clásica aplica el teorema de equipartición a los modos electromagnéticos de una cavidad a temperatura</w:t>
      </w:r>
      <w:r>
        <w:t xml:space="preserve"> </w:t>
      </w:r>
      <m:oMath>
        <m:r>
          <m:t>T</m:t>
        </m:r>
      </m:oMath>
      <w:r>
        <w:t xml:space="preserve">: cada modo recibe energía</w:t>
      </w:r>
      <w:r>
        <w:t xml:space="preserve"> </w:t>
      </w:r>
      <m:oMath>
        <m:sSub>
          <m:e>
            <m:r>
              <m:t>k</m:t>
            </m:r>
          </m:e>
          <m:sub>
            <m:r>
              <m:t>B</m:t>
            </m:r>
          </m:sub>
        </m:sSub>
        <m:r>
          <m:t>T</m:t>
        </m:r>
      </m:oMath>
      <w:r>
        <w:t xml:space="preserve">. Como el número de modos por unidad de volumen y de frecuencia crece sin límite con la frecuencia (</w:t>
      </w:r>
      <m:oMath>
        <m:r>
          <m:t>8</m:t>
        </m:r>
        <m:r>
          <m:t>π</m:t>
        </m:r>
        <m:sSup>
          <m:e>
            <m:r>
              <m:t>f</m:t>
            </m:r>
          </m:e>
          <m:sup>
            <m:r>
              <m:t>2</m:t>
            </m:r>
          </m:sup>
        </m:sSup>
        <m:r>
          <m:rPr>
            <m:sty m:val="p"/>
          </m:rPr>
          <m:t>/</m:t>
        </m:r>
        <m:sSup>
          <m:e>
            <m:r>
              <m:t>c</m:t>
            </m:r>
          </m:e>
          <m:sup>
            <m:r>
              <m:t>3</m:t>
            </m:r>
          </m:sup>
        </m:sSup>
      </m:oMath>
      <w:r>
        <w:t xml:space="preserve"> </w:t>
      </w:r>
      <w:r>
        <w:t xml:space="preserve">modos), la energía total diverge — la catástrofe ultravioleta.</w:t>
      </w:r>
    </w:p>
    <w:p>
      <w:pPr>
        <w:pStyle w:val="BodyText"/>
      </w:pPr>
      <w:r>
        <w:t xml:space="preserve">Planck usó precisamente la segunda derivada de la entropía</w:t>
      </w:r>
      <w:r>
        <w:t xml:space="preserve"> </w:t>
      </w:r>
      <m:oMath>
        <m:sSup>
          <m:e>
            <m:r>
              <m:rPr>
                <m:sty m:val="p"/>
              </m:rPr>
              <m:t>∂</m:t>
            </m:r>
          </m:e>
          <m:sup>
            <m:r>
              <m:t>2</m:t>
            </m:r>
          </m:sup>
        </m:sSup>
        <m:r>
          <m:t>S</m:t>
        </m:r>
        <m:r>
          <m:rPr>
            <m:sty m:val="p"/>
          </m:rPr>
          <m:t>/</m:t>
        </m:r>
        <m:r>
          <m:rPr>
            <m:sty m:val="p"/>
          </m:rPr>
          <m:t>∂</m:t>
        </m:r>
        <m:sSup>
          <m:e>
            <m:r>
              <m:t>U</m:t>
            </m:r>
          </m:e>
          <m:sup>
            <m:r>
              <m:t>2</m:t>
            </m:r>
          </m:sup>
        </m:sSup>
      </m:oMath>
      <w:r>
        <w:t xml:space="preserve"> </w:t>
      </w:r>
      <w:r>
        <w:t xml:space="preserve">como herramienta de interpolación entre los dos límites conocidos del espectro, y fue forzado a postular que la energía de los osciladores solo puede tomar valores discretos:</w:t>
      </w:r>
      <w:r>
        <w:t xml:space="preserve"> </w:t>
      </w:r>
      <m:oMath>
        <m:sSub>
          <m:e>
            <m:r>
              <m:t>E</m:t>
            </m:r>
          </m:e>
          <m:sub>
            <m:r>
              <m:t>n</m:t>
            </m:r>
          </m:sub>
        </m:sSub>
        <m:r>
          <m:rPr>
            <m:sty m:val="p"/>
          </m:rPr>
          <m:t>=</m:t>
        </m:r>
        <m:r>
          <m:t>n</m:t>
        </m:r>
        <m:r>
          <m:t>h</m:t>
        </m:r>
        <m:r>
          <m:t>f</m:t>
        </m:r>
      </m:oMath>
      <w:r>
        <w:t xml:space="preserve">. El resultado es la distribución de Planck:</w:t>
      </w:r>
    </w:p>
    <w:p>
      <w:pPr>
        <w:pStyle w:val="BodyText"/>
      </w:pPr>
      <m:oMathPara>
        <m:oMathParaPr>
          <m:jc m:val="center"/>
        </m:oMathParaPr>
        <m:oMath>
          <m:r>
            <m:rPr>
              <m:sty m:val="p"/>
            </m:rPr>
            <m:t>⟨</m:t>
          </m:r>
          <m:r>
            <m:t>E</m:t>
          </m:r>
          <m:r>
            <m:rPr>
              <m:sty m:val="p"/>
            </m:rPr>
            <m:t>⟩</m:t>
          </m:r>
          <m:r>
            <m:rPr>
              <m:sty m:val="p"/>
            </m:rPr>
            <m:t>=</m:t>
          </m:r>
          <m:f>
            <m:fPr>
              <m:type m:val="bar"/>
            </m:fPr>
            <m:num>
              <m:r>
                <m:t>h</m:t>
              </m:r>
              <m:r>
                <m:t>f</m:t>
              </m:r>
            </m:num>
            <m:den>
              <m:sSup>
                <m:e>
                  <m:r>
                    <m:t>e</m:t>
                  </m:r>
                </m:e>
                <m:sup>
                  <m:r>
                    <m:t>h</m:t>
                  </m:r>
                  <m:r>
                    <m:t>f</m:t>
                  </m:r>
                  <m:r>
                    <m:rPr>
                      <m:sty m:val="p"/>
                    </m:rPr>
                    <m:t>/</m:t>
                  </m:r>
                  <m:sSub>
                    <m:e>
                      <m:r>
                        <m:t>k</m:t>
                      </m:r>
                    </m:e>
                    <m:sub>
                      <m:r>
                        <m:t>B</m:t>
                      </m:r>
                    </m:sub>
                  </m:sSub>
                  <m:r>
                    <m:t>T</m:t>
                  </m:r>
                </m:sup>
              </m:sSup>
              <m:r>
                <m:rPr>
                  <m:sty m:val="p"/>
                </m:rPr>
                <m:t>−</m:t>
              </m:r>
              <m:r>
                <m:t>1</m:t>
              </m:r>
            </m:den>
          </m:f>
          <m:r>
            <m:rPr>
              <m:sty m:val="p"/>
            </m:rPr>
            <m:t>,</m:t>
          </m:r>
        </m:oMath>
      </m:oMathPara>
    </w:p>
    <w:p>
      <w:pPr>
        <w:pStyle w:val="FirstParagraph"/>
      </w:pPr>
      <w:r>
        <w:t xml:space="preserve">que a bajas frecuencias recupera el resultado clásico</w:t>
      </w:r>
      <w:r>
        <w:t xml:space="preserve"> </w:t>
      </w:r>
      <m:oMath>
        <m:sSub>
          <m:e>
            <m:r>
              <m:t>k</m:t>
            </m:r>
          </m:e>
          <m:sub>
            <m:r>
              <m:t>B</m:t>
            </m:r>
          </m:sub>
        </m:sSub>
        <m:r>
          <m:t>T</m:t>
        </m:r>
      </m:oMath>
      <w:r>
        <w:t xml:space="preserve"> </w:t>
      </w:r>
      <w:r>
        <w:t xml:space="preserve">y a altas frecuencias suprime la divergencia exponencialmente.</w:t>
      </w:r>
    </w:p>
    <w:p>
      <w:pPr>
        <w:pStyle w:val="BodyText"/>
      </w:pPr>
      <w:r>
        <w:t xml:space="preserve">La conexión con la paradoja de Gibbs es directa: en ambos casos, la física clásica sobrecontaba los estados porque trataba como distinguibles objetos que en la naturaleza son idénticos — las moléculas del gas y los cuantos de energía. La corrección</w:t>
      </w:r>
      <w:r>
        <w:t xml:space="preserve"> </w:t>
      </w:r>
      <m:oMath>
        <m:r>
          <m:t>1</m:t>
        </m:r>
        <m:r>
          <m:rPr>
            <m:sty m:val="p"/>
          </m:rPr>
          <m:t>/</m:t>
        </m:r>
        <m:r>
          <m:t>N</m:t>
        </m:r>
        <m:r>
          <m:rPr>
            <m:sty m:val="p"/>
          </m:rPr>
          <m:t>!</m:t>
        </m:r>
      </m:oMath>
      <w:r>
        <w:t xml:space="preserve"> </w:t>
      </w:r>
      <w:r>
        <w:t xml:space="preserve">en el gas anticipa la estadística de Bose-Einstein para fotones. La constante</w:t>
      </w:r>
      <w:r>
        <w:t xml:space="preserve"> </w:t>
      </w:r>
      <m:oMath>
        <m:r>
          <m:t>h</m:t>
        </m:r>
      </m:oMath>
      <w:r>
        <w:t xml:space="preserve"> </w:t>
      </w:r>
      <w:r>
        <w:t xml:space="preserve">que aparece en Sackur–Tetrode es la misma que define el cuanto de energía del fotón: la entropía del siglo XIX llevaba inscrita la semilla de la física cuántica del siglo XX.</w:t>
      </w:r>
    </w:p>
    <w:p>
      <w:r>
        <w:pict>
          <v:rect style="width:0;height:1.5pt" o:hralign="center" o:hrstd="t" o:hr="t"/>
        </w:pict>
      </w:r>
    </w:p>
    <w:bookmarkEnd w:id="28"/>
    <w:bookmarkEnd w:id="29"/>
    <w:bookmarkStart w:id="30" w:name="conclusión"/>
    <w:p>
      <w:pPr>
        <w:pStyle w:val="Heading2"/>
      </w:pPr>
      <w:r>
        <w:t xml:space="preserve">4. Conclusión</w:t>
      </w:r>
    </w:p>
    <w:p>
      <w:pPr>
        <w:pStyle w:val="FirstParagraph"/>
      </w:pPr>
      <w:r>
        <w:t xml:space="preserve">La entropía es el hilo que conecta la termodinámica macroscópica con la física microscópica. Clausius la definió como función de estado; Boltzmann la interpretó como logaritmo del número de microestados. La paradoja de Gibbs reveló que ese conteo exige la indistinguibilidad de las partículas; Sackur y Tetrode calcularon el resultado correcto, que fija la constante indeterminada de Clausius e introduce inevitablemente la constante de Planck. El gas de Van der Waals muestra que la entropía es sensible a la estructura molecular: el volumen excluido reduce el espacio de configuraciones accesibles, y las transiciones de fase son saltos discretos en ese espacio.</w:t>
      </w:r>
    </w:p>
    <w:p>
      <w:pPr>
        <w:pStyle w:val="BodyText"/>
      </w:pPr>
      <w:r>
        <w:t xml:space="preserve">La respuesta a la pregunta del inicio es, por tanto, doble. Los átomos son necesarios para dar un valor absoluto a la entropía. Y al introducirlos con rigor — respetando su indistinguibilidad — aparece la misma constante</w:t>
      </w:r>
      <w:r>
        <w:t xml:space="preserve"> </w:t>
      </w:r>
      <m:oMath>
        <m:r>
          <m:t>h</m:t>
        </m:r>
      </m:oMath>
      <w:r>
        <w:t xml:space="preserve"> </w:t>
      </w:r>
      <w:r>
        <w:t xml:space="preserve">con que Planck inauguró la física cuántica. La termodinámica clásica no era un edificio terminado: sus propias herramientas señalaban sus límites y anunciaban la extensión que vendría.</w:t>
      </w:r>
    </w:p>
    <w:p>
      <w:r>
        <w:pict>
          <v:rect style="width:0;height:1.5pt" o:hralign="center" o:hrstd="t" o:hr="t"/>
        </w:pict>
      </w:r>
    </w:p>
    <w:bookmarkEnd w:id="30"/>
    <w:bookmarkStart w:id="31" w:name="cinco-preguntas-originales"/>
    <w:p>
      <w:pPr>
        <w:pStyle w:val="Heading2"/>
      </w:pPr>
      <w:r>
        <w:t xml:space="preserve">5. Cinco preguntas originales</w:t>
      </w:r>
    </w:p>
    <w:p>
      <w:pPr>
        <w:pStyle w:val="FirstParagraph"/>
      </w:pPr>
      <w:r>
        <w:rPr>
          <w:b/>
          <w:bCs/>
        </w:rPr>
        <w:t xml:space="preserve">1.</w:t>
      </w:r>
      <w:r>
        <w:t xml:space="preserve"> </w:t>
      </w:r>
      <w:r>
        <w:t xml:space="preserve">La fórmula de Sackur–Tetrode predice</w:t>
      </w:r>
      <w:r>
        <w:t xml:space="preserve"> </w:t>
      </w:r>
      <m:oMath>
        <m:r>
          <m:t>S</m:t>
        </m:r>
        <m:r>
          <m:rPr>
            <m:sty m:val="p"/>
          </m:rPr>
          <m:t>→</m:t>
        </m:r>
        <m:r>
          <m:rPr>
            <m:sty m:val="p"/>
          </m:rPr>
          <m:t>−</m:t>
        </m:r>
        <m:r>
          <m:rPr>
            <m:sty m:val="p"/>
          </m:rPr>
          <m:t>∞</m:t>
        </m:r>
      </m:oMath>
      <w:r>
        <w:t xml:space="preserve"> </w:t>
      </w:r>
      <w:r>
        <w:t xml:space="preserve">cuando</w:t>
      </w:r>
      <w:r>
        <w:t xml:space="preserve"> </w:t>
      </w:r>
      <m:oMath>
        <m:r>
          <m:t>T</m:t>
        </m:r>
        <m:r>
          <m:rPr>
            <m:sty m:val="p"/>
          </m:rPr>
          <m:t>→</m:t>
        </m:r>
        <m:r>
          <m:t>0</m:t>
        </m:r>
      </m:oMath>
      <w:r>
        <w:t xml:space="preserve">, en aparente contradicción con la Tercera Ley (</w:t>
      </w:r>
      <m:oMath>
        <m:r>
          <m:t>S</m:t>
        </m:r>
        <m:r>
          <m:rPr>
            <m:sty m:val="p"/>
          </m:rPr>
          <m:t>→</m:t>
        </m:r>
        <m:r>
          <m:t>0</m:t>
        </m:r>
      </m:oMath>
      <w:r>
        <w:t xml:space="preserve"> </w:t>
      </w:r>
      <w:r>
        <w:t xml:space="preserve">cuando</w:t>
      </w:r>
      <w:r>
        <w:t xml:space="preserve"> </w:t>
      </w:r>
      <m:oMath>
        <m:r>
          <m:t>T</m:t>
        </m:r>
        <m:r>
          <m:rPr>
            <m:sty m:val="p"/>
          </m:rPr>
          <m:t>→</m:t>
        </m:r>
        <m:r>
          <m:t>0</m:t>
        </m:r>
      </m:oMath>
      <w:r>
        <w:t xml:space="preserve">). ¿Qué hipótesis del modelo del gas clásico falla a temperatura muy baja, y qué tipo de corrección cuántica resuelve la discrepancia?</w:t>
      </w:r>
    </w:p>
    <w:p>
      <w:pPr>
        <w:pStyle w:val="BodyText"/>
      </w:pPr>
      <w:r>
        <w:rPr>
          <w:i/>
          <w:iCs/>
        </w:rPr>
        <w:t xml:space="preserve">Relevancia:</w:t>
      </w:r>
      <w:r>
        <w:t xml:space="preserve"> </w:t>
      </w:r>
      <w:r>
        <w:t xml:space="preserve">Cuando la longitud de onda de De Broglie</w:t>
      </w:r>
      <w:r>
        <w:t xml:space="preserve"> </w:t>
      </w:r>
      <m:oMath>
        <m:r>
          <m:t>λ</m:t>
        </m:r>
        <m:r>
          <m:rPr>
            <m:sty m:val="p"/>
          </m:rPr>
          <m:t>=</m:t>
        </m:r>
        <m:r>
          <m:t>h</m:t>
        </m:r>
        <m:r>
          <m:rPr>
            <m:sty m:val="p"/>
          </m:rPr>
          <m:t>/</m:t>
        </m:r>
        <m:rad>
          <m:radPr>
            <m:degHide m:val="on"/>
          </m:radPr>
          <m:deg/>
          <m:e>
            <m:r>
              <m:t>2</m:t>
            </m:r>
            <m:r>
              <m:t>π</m:t>
            </m:r>
            <m:r>
              <m:t>m</m:t>
            </m:r>
            <m:sSub>
              <m:e>
                <m:r>
                  <m:t>k</m:t>
                </m:r>
              </m:e>
              <m:sub>
                <m:r>
                  <m:t>B</m:t>
                </m:r>
              </m:sub>
            </m:sSub>
            <m:r>
              <m:t>T</m:t>
            </m:r>
          </m:e>
        </m:rad>
      </m:oMath>
      <w:r>
        <w:t xml:space="preserve"> </w:t>
      </w:r>
      <w:r>
        <w:t xml:space="preserve">es comparable al espaciado interparticular, la aproximación clásica colapsa. La estadística de Fermi-Dirac o Bose-Einstein reemplaza a la de Maxwell-Boltzmann y garantiza</w:t>
      </w:r>
      <w:r>
        <w:t xml:space="preserve"> </w:t>
      </w:r>
      <m:oMath>
        <m:r>
          <m:t>S</m:t>
        </m:r>
        <m:r>
          <m:rPr>
            <m:sty m:val="p"/>
          </m:rPr>
          <m:t>→</m:t>
        </m:r>
        <m:r>
          <m:t>0</m:t>
        </m:r>
      </m:oMath>
      <w:r>
        <w:t xml:space="preserve"> </w:t>
      </w:r>
      <w:r>
        <w:t xml:space="preserve">al enfriar.</w:t>
      </w:r>
    </w:p>
    <w:p>
      <w:pPr>
        <w:pStyle w:val="BodyText"/>
      </w:pPr>
      <w:r>
        <w:rPr>
          <w:b/>
          <w:bCs/>
        </w:rPr>
        <w:t xml:space="preserve">2.</w:t>
      </w:r>
      <w:r>
        <w:t xml:space="preserve"> </w:t>
      </w:r>
      <w:r>
        <w:t xml:space="preserve">En el gas de Van der Waals, el parámetro</w:t>
      </w:r>
      <w:r>
        <w:t xml:space="preserve"> </w:t>
      </w:r>
      <m:oMath>
        <m:r>
          <m:t>a</m:t>
        </m:r>
      </m:oMath>
      <w:r>
        <w:t xml:space="preserve"> </w:t>
      </w:r>
      <w:r>
        <w:t xml:space="preserve">no aparece en la expresión de la entropía pero sí en la energía interna. Construya un proceso en un gas de Van der Waals con</w:t>
      </w:r>
      <w:r>
        <w:t xml:space="preserve"> </w:t>
      </w:r>
      <m:oMath>
        <m:r>
          <m:t>Δ</m:t>
        </m:r>
        <m:r>
          <m:t>S</m:t>
        </m:r>
        <m:r>
          <m:rPr>
            <m:sty m:val="p"/>
          </m:rPr>
          <m:t>=</m:t>
        </m:r>
        <m:r>
          <m:t>0</m:t>
        </m:r>
      </m:oMath>
      <w:r>
        <w:t xml:space="preserve"> </w:t>
      </w:r>
      <w:r>
        <w:t xml:space="preserve">y</w:t>
      </w:r>
      <w:r>
        <w:t xml:space="preserve"> </w:t>
      </w:r>
      <m:oMath>
        <m:r>
          <m:t>Δ</m:t>
        </m:r>
        <m:r>
          <m:t>U</m:t>
        </m:r>
        <m:r>
          <m:rPr>
            <m:sty m:val="p"/>
          </m:rPr>
          <m:t>≠</m:t>
        </m:r>
        <m:r>
          <m:t>0</m:t>
        </m:r>
      </m:oMath>
      <w:r>
        <w:t xml:space="preserve"> </w:t>
      </w:r>
      <w:r>
        <w:t xml:space="preserve">simultáneamente, y calcule el trabajo intercambiado en ese proceso.</w:t>
      </w:r>
    </w:p>
    <w:p>
      <w:pPr>
        <w:pStyle w:val="BodyText"/>
      </w:pPr>
      <w:r>
        <w:rPr>
          <w:i/>
          <w:iCs/>
        </w:rPr>
        <w:t xml:space="preserve">Relevancia:</w:t>
      </w:r>
      <w:r>
        <w:t xml:space="preserve"> </w:t>
      </w:r>
      <w:r>
        <w:t xml:space="preserve">Una expansión adiabática reversible satisface</w:t>
      </w:r>
      <w:r>
        <w:t xml:space="preserve"> </w:t>
      </w:r>
      <m:oMath>
        <m:r>
          <m:t>d</m:t>
        </m:r>
        <m:r>
          <m:t>S</m:t>
        </m:r>
        <m:r>
          <m:rPr>
            <m:sty m:val="p"/>
          </m:rPr>
          <m:t>=</m:t>
        </m:r>
        <m:r>
          <m:t>0</m:t>
        </m:r>
      </m:oMath>
      <w:r>
        <w:t xml:space="preserve">. La variación de energía es</w:t>
      </w:r>
      <w:r>
        <w:t xml:space="preserve"> </w:t>
      </w:r>
      <m:oMath>
        <m:r>
          <m:t>d</m:t>
        </m:r>
        <m:r>
          <m:t>U</m:t>
        </m:r>
        <m:r>
          <m:rPr>
            <m:sty m:val="p"/>
          </m:rPr>
          <m:t>=</m:t>
        </m:r>
        <m:d>
          <m:dPr>
            <m:begChr m:val="("/>
            <m:endChr m:val=")"/>
            <m:sepChr m:val=""/>
            <m:grow/>
          </m:dPr>
          <m:e>
            <m:r>
              <m:rPr>
                <m:sty m:val="p"/>
              </m:rPr>
              <m:t>−</m:t>
            </m:r>
            <m:r>
              <m:t>P</m:t>
            </m:r>
            <m:r>
              <m:rPr>
                <m:sty m:val="p"/>
              </m:rPr>
              <m:t>+</m:t>
            </m:r>
            <m:r>
              <m:t>a</m:t>
            </m:r>
            <m:sSup>
              <m:e>
                <m:r>
                  <m:t>N</m:t>
                </m:r>
              </m:e>
              <m:sup>
                <m:r>
                  <m:t>2</m:t>
                </m:r>
              </m:sup>
            </m:sSup>
            <m:r>
              <m:rPr>
                <m:sty m:val="p"/>
              </m:rPr>
              <m:t>/</m:t>
            </m:r>
            <m:sSup>
              <m:e>
                <m:r>
                  <m:t>V</m:t>
                </m:r>
              </m:e>
              <m:sup>
                <m:r>
                  <m:t>2</m:t>
                </m:r>
              </m:sup>
            </m:sSup>
          </m:e>
        </m:d>
        <m:r>
          <m:t> </m:t>
        </m:r>
        <m:r>
          <m:t>d</m:t>
        </m:r>
        <m:r>
          <m:t>V</m:t>
        </m:r>
        <m:r>
          <m:rPr>
            <m:sty m:val="p"/>
          </m:rPr>
          <m:t>≠</m:t>
        </m:r>
        <m:r>
          <m:t>0</m:t>
        </m:r>
      </m:oMath>
      <w:r>
        <w:t xml:space="preserve">, porque el trabajo realizado por el gas difiere del caso ideal en exactamente el término de interacciones.</w:t>
      </w:r>
    </w:p>
    <w:p>
      <w:pPr>
        <w:pStyle w:val="BodyText"/>
      </w:pPr>
      <w:r>
        <w:rPr>
          <w:b/>
          <w:bCs/>
        </w:rPr>
        <w:t xml:space="preserve">3.</w:t>
      </w:r>
      <w:r>
        <w:t xml:space="preserve"> </w:t>
      </w:r>
      <w:r>
        <w:t xml:space="preserve">Demuestre que la regla de las áreas de Maxwell — condición de coexistencia de fases en el gas de Van der Waals — es equivalente a exigir que la energía libre de Gibbs</w:t>
      </w:r>
      <w:r>
        <w:t xml:space="preserve"> </w:t>
      </w:r>
      <m:oMath>
        <m:r>
          <m:t>G</m:t>
        </m:r>
        <m:r>
          <m:rPr>
            <m:sty m:val="p"/>
          </m:rPr>
          <m:t>=</m:t>
        </m:r>
        <m:r>
          <m:t>U</m:t>
        </m:r>
        <m:r>
          <m:rPr>
            <m:sty m:val="p"/>
          </m:rPr>
          <m:t>−</m:t>
        </m:r>
        <m:r>
          <m:t>T</m:t>
        </m:r>
        <m:r>
          <m:t>S</m:t>
        </m:r>
        <m:r>
          <m:rPr>
            <m:sty m:val="p"/>
          </m:rPr>
          <m:t>+</m:t>
        </m:r>
        <m:r>
          <m:t>P</m:t>
        </m:r>
        <m:r>
          <m:t>V</m:t>
        </m:r>
      </m:oMath>
      <w:r>
        <w:t xml:space="preserve"> </w:t>
      </w:r>
      <w:r>
        <w:t xml:space="preserve">sea igual en las dos fases coexistentes. ¿Por qué la igualdad de</w:t>
      </w:r>
      <w:r>
        <w:t xml:space="preserve"> </w:t>
      </w:r>
      <m:oMath>
        <m:r>
          <m:t>G</m:t>
        </m:r>
      </m:oMath>
      <w:r>
        <w:t xml:space="preserve">, y no la de</w:t>
      </w:r>
      <w:r>
        <w:t xml:space="preserve"> </w:t>
      </w:r>
      <m:oMath>
        <m:r>
          <m:t>S</m:t>
        </m:r>
      </m:oMath>
      <w:r>
        <w:t xml:space="preserve">, es la condición correcta de equilibrio?</w:t>
      </w:r>
    </w:p>
    <w:p>
      <w:pPr>
        <w:pStyle w:val="BodyText"/>
      </w:pPr>
      <w:r>
        <w:rPr>
          <w:i/>
          <w:iCs/>
        </w:rPr>
        <w:t xml:space="preserve">Relevancia:</w:t>
      </w:r>
      <w:r>
        <w:t xml:space="preserve"> </w:t>
      </w:r>
      <w:r>
        <w:t xml:space="preserve">En equilibrio a</w:t>
      </w:r>
      <w:r>
        <w:t xml:space="preserve"> </w:t>
      </w:r>
      <m:oMath>
        <m:r>
          <m:t>T</m:t>
        </m:r>
      </m:oMath>
      <w:r>
        <w:t xml:space="preserve"> </w:t>
      </w:r>
      <w:r>
        <w:t xml:space="preserve">y</w:t>
      </w:r>
      <w:r>
        <w:t xml:space="preserve"> </w:t>
      </w:r>
      <m:oMath>
        <m:r>
          <m:t>P</m:t>
        </m:r>
      </m:oMath>
      <w:r>
        <w:t xml:space="preserve"> </w:t>
      </w:r>
      <w:r>
        <w:t xml:space="preserve">fijos el sistema minimiza</w:t>
      </w:r>
      <w:r>
        <w:t xml:space="preserve"> </w:t>
      </w:r>
      <m:oMath>
        <m:r>
          <m:t>G</m:t>
        </m:r>
      </m:oMath>
      <w:r>
        <w:t xml:space="preserve">. La igualdad</w:t>
      </w:r>
      <w:r>
        <w:t xml:space="preserve"> </w:t>
      </w:r>
      <m:oMath>
        <m:sSub>
          <m:e>
            <m:r>
              <m:t>G</m:t>
            </m:r>
          </m:e>
          <m:sub>
            <m:r>
              <m:rPr>
                <m:nor/>
                <m:sty m:val="p"/>
              </m:rPr>
              <m:t>liq</m:t>
            </m:r>
          </m:sub>
        </m:sSub>
        <m:r>
          <m:rPr>
            <m:sty m:val="p"/>
          </m:rPr>
          <m:t>=</m:t>
        </m:r>
        <m:sSub>
          <m:e>
            <m:r>
              <m:t>G</m:t>
            </m:r>
          </m:e>
          <m:sub>
            <m:r>
              <m:rPr>
                <m:nor/>
                <m:sty m:val="p"/>
              </m:rPr>
              <m:t>gas</m:t>
            </m:r>
          </m:sub>
        </m:sSub>
      </m:oMath>
      <w:r>
        <w:t xml:space="preserve"> </w:t>
      </w:r>
      <w:r>
        <w:t xml:space="preserve">equivale geométricamente a la regla de Maxwell, mostrando la coherencia interna del formalismo termodinámico.</w:t>
      </w:r>
    </w:p>
    <w:p>
      <w:pPr>
        <w:pStyle w:val="BodyText"/>
      </w:pPr>
      <w:r>
        <w:rPr>
          <w:b/>
          <w:bCs/>
        </w:rPr>
        <w:t xml:space="preserve">4.</w:t>
      </w:r>
      <w:r>
        <w:t xml:space="preserve"> </w:t>
      </w:r>
      <w:r>
        <w:t xml:space="preserve">La catástrofe ultravioleta y la paradoja de Gibbs comparten una raíz estructural: en ambos casos la física clásica sobreestima el número de estados accesibles. ¿En qué sentido puede describirse la catástrofe ultravioleta como una</w:t>
      </w:r>
      <w:r>
        <w:t xml:space="preserve"> </w:t>
      </w:r>
      <w:r>
        <w:t xml:space="preserve">“</w:t>
      </w:r>
      <w:r>
        <w:t xml:space="preserve">paradoja de Gibbs del campo electromagnético</w:t>
      </w:r>
      <w:r>
        <w:t xml:space="preserve">”</w:t>
      </w:r>
      <w:r>
        <w:t xml:space="preserve">? Señale la analogía exacta y el tipo de corrección que cada caso requiere.</w:t>
      </w:r>
    </w:p>
    <w:p>
      <w:pPr>
        <w:pStyle w:val="BodyText"/>
      </w:pPr>
      <w:r>
        <w:rPr>
          <w:i/>
          <w:iCs/>
        </w:rPr>
        <w:t xml:space="preserve">Relevancia:</w:t>
      </w:r>
      <w:r>
        <w:t xml:space="preserve"> </w:t>
      </w:r>
      <w:r>
        <w:t xml:space="preserve">El gas clásico ignora la indistinguibilidad de las moléculas (corrección:</w:t>
      </w:r>
      <w:r>
        <w:t xml:space="preserve"> </w:t>
      </w:r>
      <m:oMath>
        <m:r>
          <m:t>1</m:t>
        </m:r>
        <m:r>
          <m:rPr>
            <m:sty m:val="p"/>
          </m:rPr>
          <m:t>/</m:t>
        </m:r>
        <m:r>
          <m:t>N</m:t>
        </m:r>
        <m:r>
          <m:rPr>
            <m:sty m:val="p"/>
          </m:rPr>
          <m:t>!</m:t>
        </m:r>
      </m:oMath>
      <w:r>
        <w:t xml:space="preserve">); el campo electromagnético clásico ignora la discreción de los cuantos de energía (corrección: estadística de Bose-Einstein para fotones). En ambos casos, la solución requiere reconocer la naturaleza cuántica de los constituyentes.</w:t>
      </w:r>
    </w:p>
    <w:p>
      <w:pPr>
        <w:pStyle w:val="BodyText"/>
      </w:pPr>
      <w:r>
        <w:rPr>
          <w:b/>
          <w:bCs/>
        </w:rPr>
        <w:t xml:space="preserve">5.</w:t>
      </w:r>
      <w:r>
        <w:t xml:space="preserve"> </w:t>
      </w:r>
      <w:r>
        <w:t xml:space="preserve">Con los datos</w:t>
      </w:r>
      <w:r>
        <w:t xml:space="preserve"> </w:t>
      </w:r>
      <m:oMath>
        <m:sSub>
          <m:e>
            <m:r>
              <m:t>m</m:t>
            </m:r>
          </m:e>
          <m:sub>
            <m:r>
              <m:rPr>
                <m:nor/>
                <m:sty m:val="p"/>
              </m:rPr>
              <m:t>Ar</m:t>
            </m:r>
          </m:sub>
        </m:sSub>
        <m:r>
          <m:rPr>
            <m:sty m:val="p"/>
          </m:rPr>
          <m:t>=</m:t>
        </m:r>
        <m:r>
          <m:t>39.95</m:t>
        </m:r>
        <m:r>
          <m:t> </m:t>
        </m:r>
        <m:r>
          <m:rPr>
            <m:nor/>
            <m:sty m:val="p"/>
          </m:rPr>
          <m:t>u</m:t>
        </m:r>
      </m:oMath>
      <w:r>
        <w:t xml:space="preserve">,</w:t>
      </w:r>
      <w:r>
        <w:t xml:space="preserve"> </w:t>
      </w:r>
      <m:oMath>
        <m:r>
          <m:t>T</m:t>
        </m:r>
        <m:r>
          <m:rPr>
            <m:sty m:val="p"/>
          </m:rPr>
          <m:t>=</m:t>
        </m:r>
        <m:r>
          <m:t>298</m:t>
        </m:r>
        <m:r>
          <m:t> </m:t>
        </m:r>
        <m:r>
          <m:rPr>
            <m:nor/>
            <m:sty m:val="p"/>
          </m:rPr>
          <m:t>K</m:t>
        </m:r>
      </m:oMath>
      <w:r>
        <w:t xml:space="preserve">,</w:t>
      </w:r>
      <w:r>
        <w:t xml:space="preserve"> </w:t>
      </w:r>
      <m:oMath>
        <m:r>
          <m:t>P</m:t>
        </m:r>
        <m:r>
          <m:rPr>
            <m:sty m:val="p"/>
          </m:rPr>
          <m:t>=</m:t>
        </m:r>
        <m:r>
          <m:t>101</m:t>
        </m:r>
        <m:r>
          <m:t> </m:t>
        </m:r>
        <m:r>
          <m:t>325</m:t>
        </m:r>
        <m:r>
          <m:t> </m:t>
        </m:r>
        <m:r>
          <m:rPr>
            <m:nor/>
            <m:sty m:val="p"/>
          </m:rPr>
          <m:t>Pa</m:t>
        </m:r>
      </m:oMath>
      <w:r>
        <w:t xml:space="preserve">, calcule la entropía molar del argón usando la fórmula de Sackur–Tetrode. El valor experimental, obtenido por integración de capacidades caloríficas desde 0 K, es</w:t>
      </w:r>
      <w:r>
        <w:t xml:space="preserve"> </w:t>
      </w:r>
      <m:oMath>
        <m:r>
          <m:t>154.8</m:t>
        </m:r>
        <m:r>
          <m:t> </m:t>
        </m:r>
        <m:r>
          <m:rPr>
            <m:nor/>
            <m:sty m:val="p"/>
          </m:rPr>
          <m:t>J/(mol·K)</m:t>
        </m:r>
      </m:oMath>
      <w:r>
        <w:t xml:space="preserve">. ¿Qué conclusión se extrae del acuerdo entre ambos valores?</w:t>
      </w:r>
    </w:p>
    <w:p>
      <w:pPr>
        <w:pStyle w:val="BodyText"/>
      </w:pPr>
      <w:r>
        <w:rPr>
          <w:i/>
          <w:iCs/>
        </w:rPr>
        <w:t xml:space="preserve">Relevancia:</w:t>
      </w:r>
      <w:r>
        <w:t xml:space="preserve"> </w:t>
      </w:r>
      <w:r>
        <w:t xml:space="preserve">El acuerdo confirma que la constante de Planck</w:t>
      </w:r>
      <w:r>
        <w:t xml:space="preserve"> </w:t>
      </w:r>
      <m:oMath>
        <m:r>
          <m:t>h</m:t>
        </m:r>
      </m:oMath>
      <w:r>
        <w:t xml:space="preserve">, determinada originalmente ajustando el espectro del cuerpo negro, es una constante universal. Es uno de los tests más directos de coherencia entre termodinámica, mecánica estadística y mecánica cuántica.</w:t>
      </w:r>
    </w:p>
    <w:p>
      <w:r>
        <w:pict>
          <v:rect style="width:0;height:1.5pt" o:hralign="center" o:hrstd="t" o:hr="t"/>
        </w:pict>
      </w:r>
    </w:p>
    <w:bookmarkEnd w:id="31"/>
    <w:bookmarkStart w:id="32" w:name="referencias-bibliográficas"/>
    <w:p>
      <w:pPr>
        <w:pStyle w:val="Heading2"/>
      </w:pPr>
      <w:r>
        <w:t xml:space="preserve">6. Referencias bibliográficas</w:t>
      </w:r>
    </w:p>
    <w:p>
      <w:pPr>
        <w:pStyle w:val="FirstParagraph"/>
      </w:pPr>
      <w:r>
        <w:rPr>
          <w:b/>
          <w:bCs/>
        </w:rPr>
        <w:t xml:space="preserve">Artículos originales</w:t>
      </w:r>
      <w:r>
        <w:t xml:space="preserve"> </w:t>
      </w:r>
      <w:r>
        <w:t xml:space="preserve">- Clausius, R. (1865).</w:t>
      </w:r>
      <w:r>
        <w:t xml:space="preserve"> </w:t>
      </w:r>
      <w:r>
        <w:rPr>
          <w:i/>
          <w:iCs/>
        </w:rPr>
        <w:t xml:space="preserve">Annalen der Physik</w:t>
      </w:r>
      <w:r>
        <w:t xml:space="preserve">, 125, 353–400.</w:t>
      </w:r>
      <w:r>
        <w:t xml:space="preserve"> </w:t>
      </w:r>
      <w:r>
        <w:t xml:space="preserve">- Boltzmann, L. (1877).</w:t>
      </w:r>
      <w:r>
        <w:t xml:space="preserve"> </w:t>
      </w:r>
      <w:r>
        <w:rPr>
          <w:i/>
          <w:iCs/>
        </w:rPr>
        <w:t xml:space="preserve">Sitzungsberichte der Akademie der Wissenschaften</w:t>
      </w:r>
      <w:r>
        <w:t xml:space="preserve">, 76, 373–435.</w:t>
      </w:r>
      <w:r>
        <w:t xml:space="preserve"> </w:t>
      </w:r>
      <w:r>
        <w:t xml:space="preserve">- Van der Waals, J. D. (1873). Tesis doctoral, Universidad de Leiden.</w:t>
      </w:r>
      <w:r>
        <w:t xml:space="preserve"> </w:t>
      </w:r>
      <w:r>
        <w:t xml:space="preserve">- Sackur, O. (1911).</w:t>
      </w:r>
      <w:r>
        <w:t xml:space="preserve"> </w:t>
      </w:r>
      <w:r>
        <w:rPr>
          <w:i/>
          <w:iCs/>
        </w:rPr>
        <w:t xml:space="preserve">Annalen der Physik</w:t>
      </w:r>
      <w:r>
        <w:t xml:space="preserve">, 36, 958–980.</w:t>
      </w:r>
      <w:r>
        <w:t xml:space="preserve"> </w:t>
      </w:r>
      <w:r>
        <w:t xml:space="preserve">- Tetrode, H. (1912).</w:t>
      </w:r>
      <w:r>
        <w:t xml:space="preserve"> </w:t>
      </w:r>
      <w:r>
        <w:rPr>
          <w:i/>
          <w:iCs/>
        </w:rPr>
        <w:t xml:space="preserve">Annalen der Physik</w:t>
      </w:r>
      <w:r>
        <w:t xml:space="preserve">, 38, 434–442.</w:t>
      </w:r>
      <w:r>
        <w:t xml:space="preserve"> </w:t>
      </w:r>
      <w:r>
        <w:t xml:space="preserve">- Planck, M. (1900).</w:t>
      </w:r>
      <w:r>
        <w:t xml:space="preserve"> </w:t>
      </w:r>
      <w:r>
        <w:rPr>
          <w:i/>
          <w:iCs/>
        </w:rPr>
        <w:t xml:space="preserve">Verhandlungen der Deutschen Physikalischen Gesellschaft</w:t>
      </w:r>
      <w:r>
        <w:t xml:space="preserve">, 2, 237–245.</w:t>
      </w:r>
    </w:p>
    <w:p>
      <w:pPr>
        <w:pStyle w:val="BodyText"/>
      </w:pPr>
      <w:r>
        <w:rPr>
          <w:b/>
          <w:bCs/>
        </w:rPr>
        <w:t xml:space="preserve">Texto del curso</w:t>
      </w:r>
      <w:r>
        <w:t xml:space="preserve"> </w:t>
      </w:r>
      <w:r>
        <w:t xml:space="preserve">- Weinberg, S. (2021).</w:t>
      </w:r>
      <w:r>
        <w:t xml:space="preserve"> </w:t>
      </w:r>
      <w:r>
        <w:rPr>
          <w:i/>
          <w:iCs/>
        </w:rPr>
        <w:t xml:space="preserve">Foundations of Modern Physics</w:t>
      </w:r>
      <w:r>
        <w:t xml:space="preserve">. Cambridge University Press.</w:t>
      </w:r>
    </w:p>
    <w:p>
      <w:pPr>
        <w:pStyle w:val="BodyText"/>
      </w:pPr>
      <w:r>
        <w:rPr>
          <w:b/>
          <w:bCs/>
        </w:rPr>
        <w:t xml:space="preserve">Textos universitarios</w:t>
      </w:r>
      <w:r>
        <w:t xml:space="preserve"> </w:t>
      </w:r>
      <w:r>
        <w:t xml:space="preserve">- Callen, H. B. (1985).</w:t>
      </w:r>
      <w:r>
        <w:t xml:space="preserve"> </w:t>
      </w:r>
      <w:r>
        <w:rPr>
          <w:i/>
          <w:iCs/>
        </w:rPr>
        <w:t xml:space="preserve">Thermodynamics and an Introduction to Thermostatistics</w:t>
      </w:r>
      <w:r>
        <w:t xml:space="preserve"> </w:t>
      </w:r>
      <w:r>
        <w:t xml:space="preserve">(2ª ed.). Wiley.</w:t>
      </w:r>
      <w:r>
        <w:t xml:space="preserve"> </w:t>
      </w:r>
      <w:r>
        <w:t xml:space="preserve">- Reif, F. (1965).</w:t>
      </w:r>
      <w:r>
        <w:t xml:space="preserve"> </w:t>
      </w:r>
      <w:r>
        <w:rPr>
          <w:i/>
          <w:iCs/>
        </w:rPr>
        <w:t xml:space="preserve">Fundamentals of Statistical and Thermal Physics</w:t>
      </w:r>
      <w:r>
        <w:t xml:space="preserve">. McGraw-Hill.</w:t>
      </w:r>
      <w:r>
        <w:t xml:space="preserve"> </w:t>
      </w:r>
      <w:r>
        <w:t xml:space="preserve">- Kittel, C., &amp; Kroemer, H. (1980).</w:t>
      </w:r>
      <w:r>
        <w:t xml:space="preserve"> </w:t>
      </w:r>
      <w:r>
        <w:rPr>
          <w:i/>
          <w:iCs/>
        </w:rPr>
        <w:t xml:space="preserve">Thermal Physics</w:t>
      </w:r>
      <w:r>
        <w:t xml:space="preserve"> </w:t>
      </w:r>
      <w:r>
        <w:t xml:space="preserve">(2ª ed.). Freeman.</w:t>
      </w:r>
    </w:p>
    <w:p>
      <w:pPr>
        <w:pStyle w:val="BodyText"/>
      </w:pPr>
      <w:r>
        <w:rPr>
          <w:b/>
          <w:bCs/>
        </w:rPr>
        <w:t xml:space="preserve">Recursos abiertos</w:t>
      </w:r>
      <w:r>
        <w:t xml:space="preserve"> </w:t>
      </w:r>
      <w:r>
        <w:t xml:space="preserve">- Feynman, R. P. et al. (1963).</w:t>
      </w:r>
      <w:r>
        <w:t xml:space="preserve"> </w:t>
      </w:r>
      <w:r>
        <w:rPr>
          <w:i/>
          <w:iCs/>
        </w:rPr>
        <w:t xml:space="preserve">The Feynman Lectures on Physics</w:t>
      </w:r>
      <w:r>
        <w:t xml:space="preserve">, Vol. I, caps. 40–44. feynmanlectures.caltech.edu</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2026-09-06T05:23:34Z</dcterms:created>
  <dcterms:modified xsi:type="dcterms:W3CDTF">2026-09-06T05:23:34Z</dcterms:modified>
</cp:coreProperties>
</file>

<file path=docProps/custom.xml><?xml version="1.0" encoding="utf-8"?>
<Properties xmlns="http://schemas.openxmlformats.org/officeDocument/2006/custom-properties" xmlns:vt="http://schemas.openxmlformats.org/officeDocument/2006/docPropsVTypes"/>
</file>