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8059" w14:textId="15A77844" w:rsidR="00743286" w:rsidRPr="009A6FCE" w:rsidRDefault="008A3F4D" w:rsidP="009A6FCE">
      <w:pPr>
        <w:spacing w:line="360" w:lineRule="auto"/>
        <w:rPr>
          <w:rFonts w:ascii="Times New Roman" w:hAnsi="Times New Roman" w:cs="Times New Roman"/>
          <w:sz w:val="24"/>
          <w:szCs w:val="24"/>
        </w:rPr>
      </w:pPr>
      <w:r w:rsidRPr="009A6FCE">
        <w:rPr>
          <w:rFonts w:ascii="Times New Roman" w:hAnsi="Times New Roman" w:cs="Times New Roman"/>
          <w:sz w:val="24"/>
          <w:szCs w:val="24"/>
        </w:rPr>
        <w:t>Thesenpapier zu Hegel „Phänomenologie des Geistes“ – Philipp Schurk</w:t>
      </w:r>
    </w:p>
    <w:p w14:paraId="54BD7522" w14:textId="03438E8B" w:rsidR="008A3F4D" w:rsidRPr="009A6FCE" w:rsidRDefault="008A3F4D" w:rsidP="009A6FCE">
      <w:pPr>
        <w:spacing w:line="360" w:lineRule="auto"/>
        <w:rPr>
          <w:rFonts w:ascii="Times New Roman" w:hAnsi="Times New Roman" w:cs="Times New Roman"/>
          <w:sz w:val="24"/>
          <w:szCs w:val="24"/>
        </w:rPr>
      </w:pPr>
    </w:p>
    <w:p w14:paraId="5FA80CA0" w14:textId="42F4E7A8" w:rsidR="00E77798" w:rsidRDefault="008A3F4D" w:rsidP="009A6FCE">
      <w:pPr>
        <w:spacing w:line="360" w:lineRule="auto"/>
        <w:rPr>
          <w:rFonts w:ascii="Times New Roman" w:hAnsi="Times New Roman" w:cs="Times New Roman"/>
          <w:sz w:val="24"/>
          <w:szCs w:val="24"/>
        </w:rPr>
      </w:pPr>
      <w:r w:rsidRPr="009A6FCE">
        <w:rPr>
          <w:rFonts w:ascii="Times New Roman" w:hAnsi="Times New Roman" w:cs="Times New Roman"/>
          <w:sz w:val="24"/>
          <w:szCs w:val="24"/>
        </w:rPr>
        <w:t xml:space="preserve">In dem Abschnitt aus Hegels Phänomenologie des Geistes, der im Folgenden analysiert wird, wird </w:t>
      </w:r>
      <w:r w:rsidRPr="009A6FCE">
        <w:rPr>
          <w:rFonts w:ascii="Times New Roman" w:hAnsi="Times New Roman" w:cs="Times New Roman"/>
          <w:i/>
          <w:sz w:val="24"/>
          <w:szCs w:val="24"/>
        </w:rPr>
        <w:t>Antigone</w:t>
      </w:r>
      <w:r w:rsidRPr="009A6FCE">
        <w:rPr>
          <w:rFonts w:ascii="Times New Roman" w:hAnsi="Times New Roman" w:cs="Times New Roman"/>
          <w:sz w:val="24"/>
          <w:szCs w:val="24"/>
        </w:rPr>
        <w:t xml:space="preserve"> nicht mit einer Interpretation im eigentlichen Sinne bedacht</w:t>
      </w:r>
      <w:r w:rsidR="00341A7B" w:rsidRPr="009A6FCE">
        <w:rPr>
          <w:rFonts w:ascii="Times New Roman" w:hAnsi="Times New Roman" w:cs="Times New Roman"/>
          <w:sz w:val="24"/>
          <w:szCs w:val="24"/>
        </w:rPr>
        <w:t>, die Tragödie steht vielmehr paradigmatisch für die Theorie Hegels zu</w:t>
      </w:r>
      <w:r w:rsidR="00BC2409" w:rsidRPr="009A6FCE">
        <w:rPr>
          <w:rFonts w:ascii="Times New Roman" w:hAnsi="Times New Roman" w:cs="Times New Roman"/>
          <w:sz w:val="24"/>
          <w:szCs w:val="24"/>
        </w:rPr>
        <w:t>r</w:t>
      </w:r>
      <w:r w:rsidR="00341A7B" w:rsidRPr="009A6FCE">
        <w:rPr>
          <w:rFonts w:ascii="Times New Roman" w:hAnsi="Times New Roman" w:cs="Times New Roman"/>
          <w:sz w:val="24"/>
          <w:szCs w:val="24"/>
        </w:rPr>
        <w:t xml:space="preserve"> Konzeption des Gemeinwesens. Zentral für dessen Theorie ist der Begriff „Geist“, der </w:t>
      </w:r>
      <w:r w:rsidR="006D3D19" w:rsidRPr="009A6FCE">
        <w:rPr>
          <w:rFonts w:ascii="Times New Roman" w:hAnsi="Times New Roman" w:cs="Times New Roman"/>
          <w:sz w:val="24"/>
          <w:szCs w:val="24"/>
        </w:rPr>
        <w:t>für Hegels Anliegen</w:t>
      </w:r>
      <w:r w:rsidR="0058155E" w:rsidRPr="009A6FCE">
        <w:rPr>
          <w:rFonts w:ascii="Times New Roman" w:hAnsi="Times New Roman" w:cs="Times New Roman"/>
          <w:sz w:val="24"/>
          <w:szCs w:val="24"/>
        </w:rPr>
        <w:t xml:space="preserve">, in der </w:t>
      </w:r>
      <w:r w:rsidR="0058155E" w:rsidRPr="009A6FCE">
        <w:rPr>
          <w:rFonts w:ascii="Times New Roman" w:hAnsi="Times New Roman" w:cs="Times New Roman"/>
          <w:i/>
          <w:sz w:val="24"/>
          <w:szCs w:val="24"/>
        </w:rPr>
        <w:t>Phänomenologie des Geistes</w:t>
      </w:r>
      <w:r w:rsidR="0058155E" w:rsidRPr="009A6FCE">
        <w:rPr>
          <w:rFonts w:ascii="Times New Roman" w:hAnsi="Times New Roman" w:cs="Times New Roman"/>
          <w:sz w:val="24"/>
          <w:szCs w:val="24"/>
        </w:rPr>
        <w:t xml:space="preserve"> das „Werden der </w:t>
      </w:r>
      <w:r w:rsidR="0058155E" w:rsidRPr="004F6758">
        <w:rPr>
          <w:rFonts w:ascii="Times New Roman" w:hAnsi="Times New Roman" w:cs="Times New Roman"/>
          <w:iCs/>
          <w:sz w:val="24"/>
          <w:szCs w:val="24"/>
        </w:rPr>
        <w:t>Wissenschaft überhaupt</w:t>
      </w:r>
      <w:r w:rsidR="00CD23B7" w:rsidRPr="004F6758">
        <w:rPr>
          <w:rFonts w:ascii="Times New Roman" w:hAnsi="Times New Roman" w:cs="Times New Roman"/>
          <w:iCs/>
          <w:sz w:val="24"/>
          <w:szCs w:val="24"/>
        </w:rPr>
        <w:t xml:space="preserve"> oder des Wissens</w:t>
      </w:r>
      <w:r w:rsidR="00CD23B7" w:rsidRPr="009A6FCE">
        <w:rPr>
          <w:rFonts w:ascii="Times New Roman" w:hAnsi="Times New Roman" w:cs="Times New Roman"/>
          <w:sz w:val="24"/>
          <w:szCs w:val="24"/>
        </w:rPr>
        <w:t>“</w:t>
      </w:r>
      <w:r w:rsidR="00CD23B7" w:rsidRPr="009A6FCE">
        <w:rPr>
          <w:rStyle w:val="Funotenzeichen"/>
          <w:rFonts w:ascii="Times New Roman" w:hAnsi="Times New Roman" w:cs="Times New Roman"/>
          <w:sz w:val="24"/>
          <w:szCs w:val="24"/>
        </w:rPr>
        <w:footnoteReference w:id="1"/>
      </w:r>
      <w:r w:rsidR="00B57AE1" w:rsidRPr="009A6FCE">
        <w:rPr>
          <w:rFonts w:ascii="Times New Roman" w:hAnsi="Times New Roman" w:cs="Times New Roman"/>
          <w:sz w:val="24"/>
          <w:szCs w:val="24"/>
        </w:rPr>
        <w:t xml:space="preserve"> </w:t>
      </w:r>
      <w:r w:rsidR="00197179" w:rsidRPr="009A6FCE">
        <w:rPr>
          <w:rFonts w:ascii="Times New Roman" w:hAnsi="Times New Roman" w:cs="Times New Roman"/>
          <w:sz w:val="24"/>
          <w:szCs w:val="24"/>
        </w:rPr>
        <w:t xml:space="preserve">darzustellen, </w:t>
      </w:r>
      <w:r w:rsidR="00B57AE1" w:rsidRPr="009A6FCE">
        <w:rPr>
          <w:rFonts w:ascii="Times New Roman" w:hAnsi="Times New Roman" w:cs="Times New Roman"/>
          <w:sz w:val="24"/>
          <w:szCs w:val="24"/>
        </w:rPr>
        <w:t xml:space="preserve">konstitutiv ist, da er – so Hegel </w:t>
      </w:r>
      <w:r w:rsidR="00335AC7" w:rsidRPr="009A6FCE">
        <w:rPr>
          <w:rFonts w:ascii="Times New Roman" w:hAnsi="Times New Roman" w:cs="Times New Roman"/>
          <w:sz w:val="24"/>
          <w:szCs w:val="24"/>
        </w:rPr>
        <w:t>–</w:t>
      </w:r>
      <w:r w:rsidR="00B57AE1" w:rsidRPr="009A6FCE">
        <w:rPr>
          <w:rFonts w:ascii="Times New Roman" w:hAnsi="Times New Roman" w:cs="Times New Roman"/>
          <w:sz w:val="24"/>
          <w:szCs w:val="24"/>
        </w:rPr>
        <w:t xml:space="preserve"> </w:t>
      </w:r>
      <w:r w:rsidR="00335AC7" w:rsidRPr="009A6FCE">
        <w:rPr>
          <w:rFonts w:ascii="Times New Roman" w:hAnsi="Times New Roman" w:cs="Times New Roman"/>
          <w:sz w:val="24"/>
          <w:szCs w:val="24"/>
        </w:rPr>
        <w:t>die „Wirklichkeit [der Wissenschaft] und das Reich [bildet], das</w:t>
      </w:r>
      <w:r w:rsidR="00CF5BDD" w:rsidRPr="009A6FCE">
        <w:rPr>
          <w:rFonts w:ascii="Times New Roman" w:hAnsi="Times New Roman" w:cs="Times New Roman"/>
          <w:sz w:val="24"/>
          <w:szCs w:val="24"/>
        </w:rPr>
        <w:t xml:space="preserve"> </w:t>
      </w:r>
      <w:r w:rsidR="00335AC7" w:rsidRPr="009A6FCE">
        <w:rPr>
          <w:rFonts w:ascii="Times New Roman" w:hAnsi="Times New Roman" w:cs="Times New Roman"/>
          <w:sz w:val="24"/>
          <w:szCs w:val="24"/>
        </w:rPr>
        <w:t>er sich in seinem eigenen Elemente erbaut.“</w:t>
      </w:r>
      <w:r w:rsidR="005234BB" w:rsidRPr="009A6FCE">
        <w:rPr>
          <w:rStyle w:val="Funotenzeichen"/>
          <w:rFonts w:ascii="Times New Roman" w:hAnsi="Times New Roman" w:cs="Times New Roman"/>
          <w:sz w:val="24"/>
          <w:szCs w:val="24"/>
        </w:rPr>
        <w:footnoteReference w:id="2"/>
      </w:r>
      <w:r w:rsidR="0075074B" w:rsidRPr="009A6FCE">
        <w:rPr>
          <w:rFonts w:ascii="Times New Roman" w:hAnsi="Times New Roman" w:cs="Times New Roman"/>
          <w:sz w:val="24"/>
          <w:szCs w:val="24"/>
        </w:rPr>
        <w:t xml:space="preserve"> </w:t>
      </w:r>
      <w:r w:rsidR="00CD0523" w:rsidRPr="009A6FCE">
        <w:rPr>
          <w:rFonts w:ascii="Times New Roman" w:hAnsi="Times New Roman" w:cs="Times New Roman"/>
          <w:sz w:val="24"/>
          <w:szCs w:val="24"/>
        </w:rPr>
        <w:t xml:space="preserve">Das Geist-Kapitel in der </w:t>
      </w:r>
      <w:r w:rsidR="00CD0523" w:rsidRPr="009A6FCE">
        <w:rPr>
          <w:rFonts w:ascii="Times New Roman" w:hAnsi="Times New Roman" w:cs="Times New Roman"/>
          <w:i/>
          <w:sz w:val="24"/>
          <w:szCs w:val="24"/>
        </w:rPr>
        <w:t>Phänomenologie</w:t>
      </w:r>
      <w:r w:rsidR="00CD0523" w:rsidRPr="009A6FCE">
        <w:rPr>
          <w:rFonts w:ascii="Times New Roman" w:hAnsi="Times New Roman" w:cs="Times New Roman"/>
          <w:sz w:val="24"/>
          <w:szCs w:val="24"/>
        </w:rPr>
        <w:t xml:space="preserve"> bildet dabei den Abschluss der Bewusstseinsebenen, deren Abfolge Hegel darstellt, und vo</w:t>
      </w:r>
      <w:r w:rsidR="004F147D" w:rsidRPr="009A6FCE">
        <w:rPr>
          <w:rFonts w:ascii="Times New Roman" w:hAnsi="Times New Roman" w:cs="Times New Roman"/>
          <w:sz w:val="24"/>
          <w:szCs w:val="24"/>
        </w:rPr>
        <w:t>m Bewusstsein</w:t>
      </w:r>
      <w:r w:rsidR="00CD0523" w:rsidRPr="009A6FCE">
        <w:rPr>
          <w:rFonts w:ascii="Times New Roman" w:hAnsi="Times New Roman" w:cs="Times New Roman"/>
          <w:sz w:val="24"/>
          <w:szCs w:val="24"/>
        </w:rPr>
        <w:t xml:space="preserve"> der simplen „sinnlichen </w:t>
      </w:r>
      <w:proofErr w:type="spellStart"/>
      <w:r w:rsidR="00CD0523" w:rsidRPr="009A6FCE">
        <w:rPr>
          <w:rFonts w:ascii="Times New Roman" w:hAnsi="Times New Roman" w:cs="Times New Roman"/>
          <w:sz w:val="24"/>
          <w:szCs w:val="24"/>
        </w:rPr>
        <w:t>Gewißheit</w:t>
      </w:r>
      <w:proofErr w:type="spellEnd"/>
      <w:r w:rsidR="00CD0523" w:rsidRPr="009A6FCE">
        <w:rPr>
          <w:rFonts w:ascii="Times New Roman" w:hAnsi="Times New Roman" w:cs="Times New Roman"/>
          <w:sz w:val="24"/>
          <w:szCs w:val="24"/>
        </w:rPr>
        <w:t>“</w:t>
      </w:r>
      <w:r w:rsidR="00CD0523" w:rsidRPr="009A6FCE">
        <w:rPr>
          <w:rStyle w:val="Funotenzeichen"/>
          <w:rFonts w:ascii="Times New Roman" w:hAnsi="Times New Roman" w:cs="Times New Roman"/>
          <w:sz w:val="24"/>
          <w:szCs w:val="24"/>
        </w:rPr>
        <w:footnoteReference w:id="3"/>
      </w:r>
      <w:r w:rsidR="00372880" w:rsidRPr="009A6FCE">
        <w:rPr>
          <w:rFonts w:ascii="Times New Roman" w:hAnsi="Times New Roman" w:cs="Times New Roman"/>
          <w:sz w:val="24"/>
          <w:szCs w:val="24"/>
        </w:rPr>
        <w:t xml:space="preserve">, dem unmittelbaren Wissen </w:t>
      </w:r>
      <w:r w:rsidR="003D66D7">
        <w:rPr>
          <w:rFonts w:ascii="Times New Roman" w:hAnsi="Times New Roman" w:cs="Times New Roman"/>
          <w:sz w:val="24"/>
          <w:szCs w:val="24"/>
        </w:rPr>
        <w:t>(</w:t>
      </w:r>
      <w:r w:rsidR="00372880" w:rsidRPr="009A6FCE">
        <w:rPr>
          <w:rFonts w:ascii="Times New Roman" w:hAnsi="Times New Roman" w:cs="Times New Roman"/>
          <w:sz w:val="24"/>
          <w:szCs w:val="24"/>
        </w:rPr>
        <w:t>…</w:t>
      </w:r>
      <w:r w:rsidR="003D66D7">
        <w:rPr>
          <w:rFonts w:ascii="Times New Roman" w:hAnsi="Times New Roman" w:cs="Times New Roman"/>
          <w:sz w:val="24"/>
          <w:szCs w:val="24"/>
        </w:rPr>
        <w:t>)</w:t>
      </w:r>
      <w:r w:rsidR="00372880" w:rsidRPr="009A6FCE">
        <w:rPr>
          <w:rFonts w:ascii="Times New Roman" w:hAnsi="Times New Roman" w:cs="Times New Roman"/>
          <w:sz w:val="24"/>
          <w:szCs w:val="24"/>
        </w:rPr>
        <w:t xml:space="preserve"> des Unmittelbaren oder Seienden“</w:t>
      </w:r>
      <w:r w:rsidR="00372880" w:rsidRPr="009A6FCE">
        <w:rPr>
          <w:rStyle w:val="Funotenzeichen"/>
          <w:rFonts w:ascii="Times New Roman" w:hAnsi="Times New Roman" w:cs="Times New Roman"/>
          <w:sz w:val="24"/>
          <w:szCs w:val="24"/>
        </w:rPr>
        <w:footnoteReference w:id="4"/>
      </w:r>
      <w:r w:rsidR="004F147D" w:rsidRPr="009A6FCE">
        <w:rPr>
          <w:rFonts w:ascii="Times New Roman" w:hAnsi="Times New Roman" w:cs="Times New Roman"/>
          <w:sz w:val="24"/>
          <w:szCs w:val="24"/>
        </w:rPr>
        <w:t>, über das Selbstbewusstsein und der Vernunft zur Stufe des Geistes reicht.</w:t>
      </w:r>
      <w:r w:rsidR="00B63801" w:rsidRPr="009A6FCE">
        <w:rPr>
          <w:rFonts w:ascii="Times New Roman" w:hAnsi="Times New Roman" w:cs="Times New Roman"/>
          <w:sz w:val="24"/>
          <w:szCs w:val="24"/>
        </w:rPr>
        <w:t xml:space="preserve"> </w:t>
      </w:r>
      <w:r w:rsidR="005D69D6" w:rsidRPr="009A6FCE">
        <w:rPr>
          <w:rFonts w:ascii="Times New Roman" w:hAnsi="Times New Roman" w:cs="Times New Roman"/>
          <w:sz w:val="24"/>
          <w:szCs w:val="24"/>
        </w:rPr>
        <w:t xml:space="preserve">Das „Selbstbewusstsein“ unterscheidet sich nach Hegel insofern von der Stufe des bloßen Bewusstseins, als dass </w:t>
      </w:r>
      <w:r w:rsidR="00A8334A" w:rsidRPr="009A6FCE">
        <w:rPr>
          <w:rFonts w:ascii="Times New Roman" w:hAnsi="Times New Roman" w:cs="Times New Roman"/>
          <w:sz w:val="24"/>
          <w:szCs w:val="24"/>
        </w:rPr>
        <w:t>„das Wahre“</w:t>
      </w:r>
      <w:r w:rsidR="00A8334A" w:rsidRPr="009A6FCE">
        <w:rPr>
          <w:rStyle w:val="Funotenzeichen"/>
          <w:rFonts w:ascii="Times New Roman" w:hAnsi="Times New Roman" w:cs="Times New Roman"/>
          <w:sz w:val="24"/>
          <w:szCs w:val="24"/>
        </w:rPr>
        <w:footnoteReference w:id="5"/>
      </w:r>
      <w:r w:rsidR="00A8334A" w:rsidRPr="009A6FCE">
        <w:rPr>
          <w:rFonts w:ascii="Times New Roman" w:hAnsi="Times New Roman" w:cs="Times New Roman"/>
          <w:sz w:val="24"/>
          <w:szCs w:val="24"/>
        </w:rPr>
        <w:t xml:space="preserve"> dem Bewusstsein</w:t>
      </w:r>
      <w:r w:rsidR="009913DC" w:rsidRPr="009A6FCE">
        <w:rPr>
          <w:rFonts w:ascii="Times New Roman" w:hAnsi="Times New Roman" w:cs="Times New Roman"/>
          <w:sz w:val="24"/>
          <w:szCs w:val="24"/>
        </w:rPr>
        <w:t xml:space="preserve"> nicht mehr „etwas anderes als es selbst“</w:t>
      </w:r>
      <w:r w:rsidR="009913DC" w:rsidRPr="009A6FCE">
        <w:rPr>
          <w:rStyle w:val="Funotenzeichen"/>
          <w:rFonts w:ascii="Times New Roman" w:hAnsi="Times New Roman" w:cs="Times New Roman"/>
          <w:sz w:val="24"/>
          <w:szCs w:val="24"/>
        </w:rPr>
        <w:footnoteReference w:id="6"/>
      </w:r>
      <w:r w:rsidR="009913DC" w:rsidRPr="009A6FCE">
        <w:rPr>
          <w:rFonts w:ascii="Times New Roman" w:hAnsi="Times New Roman" w:cs="Times New Roman"/>
          <w:sz w:val="24"/>
          <w:szCs w:val="24"/>
        </w:rPr>
        <w:t xml:space="preserve"> ist</w:t>
      </w:r>
      <w:r w:rsidR="00254D91">
        <w:rPr>
          <w:rFonts w:ascii="Times New Roman" w:hAnsi="Times New Roman" w:cs="Times New Roman"/>
          <w:sz w:val="24"/>
          <w:szCs w:val="24"/>
        </w:rPr>
        <w:t>:</w:t>
      </w:r>
      <w:r w:rsidR="00C97EB6" w:rsidRPr="009A6FCE">
        <w:rPr>
          <w:rFonts w:ascii="Times New Roman" w:hAnsi="Times New Roman" w:cs="Times New Roman"/>
          <w:sz w:val="24"/>
          <w:szCs w:val="24"/>
        </w:rPr>
        <w:t xml:space="preserve"> </w:t>
      </w:r>
      <w:r w:rsidR="001C7B08" w:rsidRPr="009A6FCE">
        <w:rPr>
          <w:rFonts w:ascii="Times New Roman" w:hAnsi="Times New Roman" w:cs="Times New Roman"/>
          <w:sz w:val="24"/>
          <w:szCs w:val="24"/>
        </w:rPr>
        <w:t>„</w:t>
      </w:r>
      <w:r w:rsidR="005B4DB5">
        <w:rPr>
          <w:rFonts w:ascii="Times New Roman" w:hAnsi="Times New Roman" w:cs="Times New Roman"/>
          <w:sz w:val="24"/>
          <w:szCs w:val="24"/>
        </w:rPr>
        <w:t>d</w:t>
      </w:r>
      <w:r w:rsidR="001C7B08" w:rsidRPr="009A6FCE">
        <w:rPr>
          <w:rFonts w:ascii="Times New Roman" w:hAnsi="Times New Roman" w:cs="Times New Roman"/>
          <w:sz w:val="24"/>
          <w:szCs w:val="24"/>
        </w:rPr>
        <w:t>as Bewusstsein weiß, indem es sich selbst weiß“</w:t>
      </w:r>
      <w:r w:rsidR="001C7B08" w:rsidRPr="009A6FCE">
        <w:rPr>
          <w:rStyle w:val="Funotenzeichen"/>
          <w:rFonts w:ascii="Times New Roman" w:hAnsi="Times New Roman" w:cs="Times New Roman"/>
          <w:sz w:val="24"/>
          <w:szCs w:val="24"/>
        </w:rPr>
        <w:footnoteReference w:id="7"/>
      </w:r>
      <w:r w:rsidR="00CE5E6D" w:rsidRPr="009A6FCE">
        <w:rPr>
          <w:rFonts w:ascii="Times New Roman" w:hAnsi="Times New Roman" w:cs="Times New Roman"/>
          <w:sz w:val="24"/>
          <w:szCs w:val="24"/>
        </w:rPr>
        <w:t>.</w:t>
      </w:r>
      <w:r w:rsidR="009A6DE0" w:rsidRPr="009A6FCE">
        <w:rPr>
          <w:rFonts w:ascii="Times New Roman" w:hAnsi="Times New Roman" w:cs="Times New Roman"/>
          <w:sz w:val="24"/>
          <w:szCs w:val="24"/>
        </w:rPr>
        <w:t xml:space="preserve"> Der Absolutheitsanspruch des Ichs, mit dem das selbstbewusste Individuum </w:t>
      </w:r>
      <w:r w:rsidR="0086428F" w:rsidRPr="009A6FCE">
        <w:rPr>
          <w:rFonts w:ascii="Times New Roman" w:hAnsi="Times New Roman" w:cs="Times New Roman"/>
          <w:sz w:val="24"/>
          <w:szCs w:val="24"/>
        </w:rPr>
        <w:t xml:space="preserve">auftritt, muss notwendigerweise mit dem Selbstverständnis eines Individuums konfligieren, das mit </w:t>
      </w:r>
      <w:proofErr w:type="gramStart"/>
      <w:r w:rsidR="005B4DB5">
        <w:rPr>
          <w:rFonts w:ascii="Times New Roman" w:hAnsi="Times New Roman" w:cs="Times New Roman"/>
          <w:sz w:val="24"/>
          <w:szCs w:val="24"/>
        </w:rPr>
        <w:t xml:space="preserve">dem </w:t>
      </w:r>
      <w:r w:rsidR="0086428F" w:rsidRPr="009A6FCE">
        <w:rPr>
          <w:rFonts w:ascii="Times New Roman" w:hAnsi="Times New Roman" w:cs="Times New Roman"/>
          <w:sz w:val="24"/>
          <w:szCs w:val="24"/>
        </w:rPr>
        <w:t>selben</w:t>
      </w:r>
      <w:proofErr w:type="gramEnd"/>
      <w:r w:rsidR="0086428F" w:rsidRPr="009A6FCE">
        <w:rPr>
          <w:rFonts w:ascii="Times New Roman" w:hAnsi="Times New Roman" w:cs="Times New Roman"/>
          <w:sz w:val="24"/>
          <w:szCs w:val="24"/>
        </w:rPr>
        <w:t xml:space="preserve"> Anspruch auftritt</w:t>
      </w:r>
      <w:r w:rsidR="00A5182A" w:rsidRPr="009A6FCE">
        <w:rPr>
          <w:rFonts w:ascii="Times New Roman" w:hAnsi="Times New Roman" w:cs="Times New Roman"/>
          <w:sz w:val="24"/>
          <w:szCs w:val="24"/>
        </w:rPr>
        <w:t>, da sich das „</w:t>
      </w:r>
      <w:proofErr w:type="spellStart"/>
      <w:r w:rsidR="00A5182A" w:rsidRPr="009A6FCE">
        <w:rPr>
          <w:rFonts w:ascii="Times New Roman" w:hAnsi="Times New Roman" w:cs="Times New Roman"/>
          <w:sz w:val="24"/>
          <w:szCs w:val="24"/>
        </w:rPr>
        <w:t>Selbstbewußtsein</w:t>
      </w:r>
      <w:proofErr w:type="spellEnd"/>
      <w:r w:rsidR="00A5182A" w:rsidRPr="009A6FCE">
        <w:rPr>
          <w:rFonts w:ascii="Times New Roman" w:hAnsi="Times New Roman" w:cs="Times New Roman"/>
          <w:sz w:val="24"/>
          <w:szCs w:val="24"/>
        </w:rPr>
        <w:t xml:space="preserve"> </w:t>
      </w:r>
      <w:r w:rsidR="003D66D7">
        <w:rPr>
          <w:rFonts w:ascii="Times New Roman" w:hAnsi="Times New Roman" w:cs="Times New Roman"/>
          <w:sz w:val="24"/>
          <w:szCs w:val="24"/>
        </w:rPr>
        <w:t>(</w:t>
      </w:r>
      <w:r w:rsidR="00A5182A" w:rsidRPr="009A6FCE">
        <w:rPr>
          <w:rFonts w:ascii="Times New Roman" w:hAnsi="Times New Roman" w:cs="Times New Roman"/>
          <w:sz w:val="24"/>
          <w:szCs w:val="24"/>
        </w:rPr>
        <w:t>…</w:t>
      </w:r>
      <w:r w:rsidR="003D66D7">
        <w:rPr>
          <w:rFonts w:ascii="Times New Roman" w:hAnsi="Times New Roman" w:cs="Times New Roman"/>
          <w:sz w:val="24"/>
          <w:szCs w:val="24"/>
        </w:rPr>
        <w:t>)</w:t>
      </w:r>
      <w:r w:rsidR="00A5182A" w:rsidRPr="009A6FCE">
        <w:rPr>
          <w:rFonts w:ascii="Times New Roman" w:hAnsi="Times New Roman" w:cs="Times New Roman"/>
          <w:sz w:val="24"/>
          <w:szCs w:val="24"/>
        </w:rPr>
        <w:t xml:space="preserve"> seiner selbst nur </w:t>
      </w:r>
      <w:proofErr w:type="spellStart"/>
      <w:r w:rsidR="00A5182A" w:rsidRPr="009A6FCE">
        <w:rPr>
          <w:rFonts w:ascii="Times New Roman" w:hAnsi="Times New Roman" w:cs="Times New Roman"/>
          <w:sz w:val="24"/>
          <w:szCs w:val="24"/>
        </w:rPr>
        <w:t>gewiß</w:t>
      </w:r>
      <w:proofErr w:type="spellEnd"/>
      <w:r w:rsidR="00A5182A" w:rsidRPr="009A6FCE">
        <w:rPr>
          <w:rFonts w:ascii="Times New Roman" w:hAnsi="Times New Roman" w:cs="Times New Roman"/>
          <w:sz w:val="24"/>
          <w:szCs w:val="24"/>
        </w:rPr>
        <w:t xml:space="preserve"> [ist] durch das Aufheben</w:t>
      </w:r>
      <w:r w:rsidR="00550DF5" w:rsidRPr="009A6FCE">
        <w:rPr>
          <w:rFonts w:ascii="Times New Roman" w:hAnsi="Times New Roman" w:cs="Times New Roman"/>
          <w:sz w:val="24"/>
          <w:szCs w:val="24"/>
        </w:rPr>
        <w:t xml:space="preserve"> dieses Anderen, das sich ihm als selbständiges Leben darstellt“</w:t>
      </w:r>
      <w:r w:rsidR="00550DF5" w:rsidRPr="009A6FCE">
        <w:rPr>
          <w:rStyle w:val="Funotenzeichen"/>
          <w:rFonts w:ascii="Times New Roman" w:hAnsi="Times New Roman" w:cs="Times New Roman"/>
          <w:sz w:val="24"/>
          <w:szCs w:val="24"/>
        </w:rPr>
        <w:footnoteReference w:id="8"/>
      </w:r>
      <w:r w:rsidR="00A13DF1" w:rsidRPr="009A6FCE">
        <w:rPr>
          <w:rFonts w:ascii="Times New Roman" w:hAnsi="Times New Roman" w:cs="Times New Roman"/>
          <w:sz w:val="24"/>
          <w:szCs w:val="24"/>
        </w:rPr>
        <w:t xml:space="preserve">. Dieser Antagonismus führt zu der berühmten Herr-Knecht-Dialektik, die Hegel im Selbstbewusstsein-Kapitel </w:t>
      </w:r>
      <w:r w:rsidR="009264B7" w:rsidRPr="009A6FCE">
        <w:rPr>
          <w:rFonts w:ascii="Times New Roman" w:hAnsi="Times New Roman" w:cs="Times New Roman"/>
          <w:sz w:val="24"/>
          <w:szCs w:val="24"/>
        </w:rPr>
        <w:t>einführt.</w:t>
      </w:r>
      <w:r w:rsidR="00B67EA0" w:rsidRPr="009A6FCE">
        <w:rPr>
          <w:rFonts w:ascii="Times New Roman" w:hAnsi="Times New Roman" w:cs="Times New Roman"/>
          <w:sz w:val="24"/>
          <w:szCs w:val="24"/>
        </w:rPr>
        <w:t xml:space="preserve"> Die Vernunft, die Hegel im daran anknüpfenden </w:t>
      </w:r>
      <w:r w:rsidR="00254D91">
        <w:rPr>
          <w:rFonts w:ascii="Times New Roman" w:hAnsi="Times New Roman" w:cs="Times New Roman"/>
          <w:sz w:val="24"/>
          <w:szCs w:val="24"/>
        </w:rPr>
        <w:t>Abschnitt</w:t>
      </w:r>
      <w:r w:rsidR="00B67EA0" w:rsidRPr="009A6FCE">
        <w:rPr>
          <w:rFonts w:ascii="Times New Roman" w:hAnsi="Times New Roman" w:cs="Times New Roman"/>
          <w:sz w:val="24"/>
          <w:szCs w:val="24"/>
        </w:rPr>
        <w:t xml:space="preserve"> behandelt, </w:t>
      </w:r>
      <w:r w:rsidR="00A43095" w:rsidRPr="009A6FCE">
        <w:rPr>
          <w:rFonts w:ascii="Times New Roman" w:hAnsi="Times New Roman" w:cs="Times New Roman"/>
          <w:sz w:val="24"/>
          <w:szCs w:val="24"/>
        </w:rPr>
        <w:t>löst diesen Widerspruch als „</w:t>
      </w:r>
      <w:proofErr w:type="spellStart"/>
      <w:r w:rsidR="00A43095" w:rsidRPr="009A6FCE">
        <w:rPr>
          <w:rFonts w:ascii="Times New Roman" w:hAnsi="Times New Roman" w:cs="Times New Roman"/>
          <w:sz w:val="24"/>
          <w:szCs w:val="24"/>
        </w:rPr>
        <w:t>Gewißheit</w:t>
      </w:r>
      <w:proofErr w:type="spellEnd"/>
      <w:r w:rsidR="008D7F0F" w:rsidRPr="009A6FCE">
        <w:rPr>
          <w:rFonts w:ascii="Times New Roman" w:hAnsi="Times New Roman" w:cs="Times New Roman"/>
          <w:sz w:val="24"/>
          <w:szCs w:val="24"/>
        </w:rPr>
        <w:t xml:space="preserve"> des </w:t>
      </w:r>
      <w:proofErr w:type="spellStart"/>
      <w:r w:rsidR="008D7F0F" w:rsidRPr="009A6FCE">
        <w:rPr>
          <w:rFonts w:ascii="Times New Roman" w:hAnsi="Times New Roman" w:cs="Times New Roman"/>
          <w:sz w:val="24"/>
          <w:szCs w:val="24"/>
        </w:rPr>
        <w:t>Bewußtseins</w:t>
      </w:r>
      <w:proofErr w:type="spellEnd"/>
      <w:r w:rsidR="008D7F0F" w:rsidRPr="009A6FCE">
        <w:rPr>
          <w:rFonts w:ascii="Times New Roman" w:hAnsi="Times New Roman" w:cs="Times New Roman"/>
          <w:sz w:val="24"/>
          <w:szCs w:val="24"/>
        </w:rPr>
        <w:t>, alle Realität zu sein“</w:t>
      </w:r>
      <w:r w:rsidR="008D7F0F" w:rsidRPr="009A6FCE">
        <w:rPr>
          <w:rStyle w:val="Funotenzeichen"/>
          <w:rFonts w:ascii="Times New Roman" w:hAnsi="Times New Roman" w:cs="Times New Roman"/>
          <w:sz w:val="24"/>
          <w:szCs w:val="24"/>
        </w:rPr>
        <w:footnoteReference w:id="9"/>
      </w:r>
      <w:r w:rsidR="00E65949" w:rsidRPr="009A6FCE">
        <w:rPr>
          <w:rFonts w:ascii="Times New Roman" w:hAnsi="Times New Roman" w:cs="Times New Roman"/>
          <w:sz w:val="24"/>
          <w:szCs w:val="24"/>
        </w:rPr>
        <w:t xml:space="preserve"> auf.</w:t>
      </w:r>
      <w:r w:rsidR="0026242D" w:rsidRPr="009A6FCE">
        <w:rPr>
          <w:rFonts w:ascii="Times New Roman" w:hAnsi="Times New Roman" w:cs="Times New Roman"/>
          <w:sz w:val="24"/>
          <w:szCs w:val="24"/>
        </w:rPr>
        <w:t xml:space="preserve"> </w:t>
      </w:r>
      <w:r w:rsidR="007C5590" w:rsidRPr="009A6FCE">
        <w:rPr>
          <w:rFonts w:ascii="Times New Roman" w:hAnsi="Times New Roman" w:cs="Times New Roman"/>
          <w:sz w:val="24"/>
          <w:szCs w:val="24"/>
        </w:rPr>
        <w:t>War es dem Selbstbewusstsein bisher „nur um seine Selbständigkeit und Freiheit zu tun gewesen, um sich für sich selbst auf Kosten der Welt (…) zu retten und zu erhalten“</w:t>
      </w:r>
      <w:r w:rsidR="007C5590" w:rsidRPr="009A6FCE">
        <w:rPr>
          <w:rStyle w:val="Funotenzeichen"/>
          <w:rFonts w:ascii="Times New Roman" w:hAnsi="Times New Roman" w:cs="Times New Roman"/>
          <w:sz w:val="24"/>
          <w:szCs w:val="24"/>
        </w:rPr>
        <w:footnoteReference w:id="10"/>
      </w:r>
      <w:r w:rsidR="009A6FCE">
        <w:rPr>
          <w:rFonts w:ascii="Times New Roman" w:hAnsi="Times New Roman" w:cs="Times New Roman"/>
          <w:sz w:val="24"/>
          <w:szCs w:val="24"/>
        </w:rPr>
        <w:t>, so hat es, „als Vernunft, seiner selbst versichert, (…) die Ruhe gegen sie empfangen und kann sie ertragen“</w:t>
      </w:r>
      <w:r w:rsidR="009A6FCE">
        <w:rPr>
          <w:rStyle w:val="Funotenzeichen"/>
          <w:rFonts w:ascii="Times New Roman" w:hAnsi="Times New Roman" w:cs="Times New Roman"/>
          <w:sz w:val="24"/>
          <w:szCs w:val="24"/>
        </w:rPr>
        <w:footnoteReference w:id="11"/>
      </w:r>
      <w:r w:rsidR="0093716C">
        <w:rPr>
          <w:rFonts w:ascii="Times New Roman" w:hAnsi="Times New Roman" w:cs="Times New Roman"/>
          <w:sz w:val="24"/>
          <w:szCs w:val="24"/>
        </w:rPr>
        <w:t xml:space="preserve">. </w:t>
      </w:r>
      <w:r w:rsidR="009D5F5C">
        <w:rPr>
          <w:rFonts w:ascii="Times New Roman" w:hAnsi="Times New Roman" w:cs="Times New Roman"/>
          <w:sz w:val="24"/>
          <w:szCs w:val="24"/>
        </w:rPr>
        <w:t xml:space="preserve">Das „bisher negative[..] Verhältnis zu dem Anderssein </w:t>
      </w:r>
      <w:r w:rsidR="009D5F5C">
        <w:rPr>
          <w:rFonts w:ascii="Times New Roman" w:hAnsi="Times New Roman" w:cs="Times New Roman"/>
          <w:sz w:val="24"/>
          <w:szCs w:val="24"/>
        </w:rPr>
        <w:lastRenderedPageBreak/>
        <w:t>[schlägt] in ein positives um.“</w:t>
      </w:r>
      <w:r w:rsidR="009D5F5C">
        <w:rPr>
          <w:rStyle w:val="Funotenzeichen"/>
          <w:rFonts w:ascii="Times New Roman" w:hAnsi="Times New Roman" w:cs="Times New Roman"/>
          <w:sz w:val="24"/>
          <w:szCs w:val="24"/>
        </w:rPr>
        <w:footnoteReference w:id="12"/>
      </w:r>
      <w:r w:rsidR="00257A1D">
        <w:rPr>
          <w:rFonts w:ascii="Times New Roman" w:hAnsi="Times New Roman" w:cs="Times New Roman"/>
          <w:sz w:val="24"/>
          <w:szCs w:val="24"/>
        </w:rPr>
        <w:t xml:space="preserve"> Da die Vernunft sich selbst aber nicht in Bezug zur Wirklichkeit setzt, gerät sie in die Lage, bloß „den abstrakten Begriff der Vernunft als das Wahre“</w:t>
      </w:r>
      <w:r w:rsidR="001F6960">
        <w:rPr>
          <w:rStyle w:val="Funotenzeichen"/>
          <w:rFonts w:ascii="Times New Roman" w:hAnsi="Times New Roman" w:cs="Times New Roman"/>
          <w:sz w:val="24"/>
          <w:szCs w:val="24"/>
        </w:rPr>
        <w:footnoteReference w:id="13"/>
      </w:r>
      <w:r w:rsidR="00257A1D">
        <w:rPr>
          <w:rFonts w:ascii="Times New Roman" w:hAnsi="Times New Roman" w:cs="Times New Roman"/>
          <w:sz w:val="24"/>
          <w:szCs w:val="24"/>
        </w:rPr>
        <w:t xml:space="preserve"> zu behaupten.</w:t>
      </w:r>
      <w:r w:rsidR="00A6428E">
        <w:rPr>
          <w:rFonts w:ascii="Times New Roman" w:hAnsi="Times New Roman" w:cs="Times New Roman"/>
          <w:sz w:val="24"/>
          <w:szCs w:val="24"/>
        </w:rPr>
        <w:t xml:space="preserve"> Die Aporie</w:t>
      </w:r>
      <w:r w:rsidR="007E35FC">
        <w:rPr>
          <w:rFonts w:ascii="Times New Roman" w:hAnsi="Times New Roman" w:cs="Times New Roman"/>
          <w:sz w:val="24"/>
          <w:szCs w:val="24"/>
        </w:rPr>
        <w:t xml:space="preserve"> </w:t>
      </w:r>
      <w:r w:rsidR="00A6428E">
        <w:rPr>
          <w:rFonts w:ascii="Times New Roman" w:hAnsi="Times New Roman" w:cs="Times New Roman"/>
          <w:sz w:val="24"/>
          <w:szCs w:val="24"/>
        </w:rPr>
        <w:t>d</w:t>
      </w:r>
      <w:r w:rsidR="007E35FC">
        <w:rPr>
          <w:rFonts w:ascii="Times New Roman" w:hAnsi="Times New Roman" w:cs="Times New Roman"/>
          <w:sz w:val="24"/>
          <w:szCs w:val="24"/>
        </w:rPr>
        <w:t>iese</w:t>
      </w:r>
      <w:r w:rsidR="00A6428E">
        <w:rPr>
          <w:rFonts w:ascii="Times New Roman" w:hAnsi="Times New Roman" w:cs="Times New Roman"/>
          <w:sz w:val="24"/>
          <w:szCs w:val="24"/>
        </w:rPr>
        <w:t>s</w:t>
      </w:r>
      <w:r w:rsidR="007E35FC">
        <w:rPr>
          <w:rFonts w:ascii="Times New Roman" w:hAnsi="Times New Roman" w:cs="Times New Roman"/>
          <w:sz w:val="24"/>
          <w:szCs w:val="24"/>
        </w:rPr>
        <w:t xml:space="preserve"> „leere</w:t>
      </w:r>
      <w:r w:rsidR="00A6428E">
        <w:rPr>
          <w:rFonts w:ascii="Times New Roman" w:hAnsi="Times New Roman" w:cs="Times New Roman"/>
          <w:sz w:val="24"/>
          <w:szCs w:val="24"/>
        </w:rPr>
        <w:t>[n]</w:t>
      </w:r>
      <w:r w:rsidR="007E35FC">
        <w:rPr>
          <w:rFonts w:ascii="Times New Roman" w:hAnsi="Times New Roman" w:cs="Times New Roman"/>
          <w:sz w:val="24"/>
          <w:szCs w:val="24"/>
        </w:rPr>
        <w:t xml:space="preserve"> Idealismus“</w:t>
      </w:r>
      <w:r w:rsidR="007E35FC">
        <w:rPr>
          <w:rStyle w:val="Funotenzeichen"/>
          <w:rFonts w:ascii="Times New Roman" w:hAnsi="Times New Roman" w:cs="Times New Roman"/>
          <w:sz w:val="24"/>
          <w:szCs w:val="24"/>
        </w:rPr>
        <w:footnoteReference w:id="14"/>
      </w:r>
      <w:r w:rsidR="00FD594E">
        <w:rPr>
          <w:rFonts w:ascii="Times New Roman" w:hAnsi="Times New Roman" w:cs="Times New Roman"/>
          <w:sz w:val="24"/>
          <w:szCs w:val="24"/>
        </w:rPr>
        <w:t xml:space="preserve"> löst d</w:t>
      </w:r>
      <w:r w:rsidR="001F58E4">
        <w:rPr>
          <w:rFonts w:ascii="Times New Roman" w:hAnsi="Times New Roman" w:cs="Times New Roman"/>
          <w:sz w:val="24"/>
          <w:szCs w:val="24"/>
        </w:rPr>
        <w:t>as</w:t>
      </w:r>
      <w:r w:rsidR="00FD594E">
        <w:rPr>
          <w:rFonts w:ascii="Times New Roman" w:hAnsi="Times New Roman" w:cs="Times New Roman"/>
          <w:sz w:val="24"/>
          <w:szCs w:val="24"/>
        </w:rPr>
        <w:t xml:space="preserve"> Geist</w:t>
      </w:r>
      <w:r w:rsidR="001F58E4">
        <w:rPr>
          <w:rFonts w:ascii="Times New Roman" w:hAnsi="Times New Roman" w:cs="Times New Roman"/>
          <w:sz w:val="24"/>
          <w:szCs w:val="24"/>
        </w:rPr>
        <w:t xml:space="preserve"> gewordene Bewusstsein</w:t>
      </w:r>
      <w:r w:rsidR="00FD594E">
        <w:rPr>
          <w:rFonts w:ascii="Times New Roman" w:hAnsi="Times New Roman" w:cs="Times New Roman"/>
          <w:sz w:val="24"/>
          <w:szCs w:val="24"/>
        </w:rPr>
        <w:t xml:space="preserve"> auf, indem </w:t>
      </w:r>
      <w:r w:rsidR="00C15F71">
        <w:rPr>
          <w:rFonts w:ascii="Times New Roman" w:hAnsi="Times New Roman" w:cs="Times New Roman"/>
          <w:sz w:val="24"/>
          <w:szCs w:val="24"/>
        </w:rPr>
        <w:t>es sich selbst in Bezug zu seiner Umwelt und seine</w:t>
      </w:r>
      <w:r w:rsidR="00E77798">
        <w:rPr>
          <w:rFonts w:ascii="Times New Roman" w:hAnsi="Times New Roman" w:cs="Times New Roman"/>
          <w:sz w:val="24"/>
          <w:szCs w:val="24"/>
        </w:rPr>
        <w:t>n</w:t>
      </w:r>
      <w:r w:rsidR="00C15F71">
        <w:rPr>
          <w:rFonts w:ascii="Times New Roman" w:hAnsi="Times New Roman" w:cs="Times New Roman"/>
          <w:sz w:val="24"/>
          <w:szCs w:val="24"/>
        </w:rPr>
        <w:t xml:space="preserve"> Mitmenschen setzt: </w:t>
      </w:r>
    </w:p>
    <w:p w14:paraId="51C02145" w14:textId="7898A9F1" w:rsidR="008A3F4D" w:rsidRDefault="00E77798" w:rsidP="009A6FCE">
      <w:pPr>
        <w:spacing w:line="360" w:lineRule="auto"/>
        <w:rPr>
          <w:rFonts w:ascii="Times New Roman" w:hAnsi="Times New Roman" w:cs="Times New Roman"/>
          <w:sz w:val="20"/>
          <w:szCs w:val="20"/>
        </w:rPr>
      </w:pPr>
      <w:r>
        <w:rPr>
          <w:rFonts w:ascii="Times New Roman" w:hAnsi="Times New Roman" w:cs="Times New Roman"/>
          <w:sz w:val="20"/>
          <w:szCs w:val="20"/>
        </w:rPr>
        <w:t xml:space="preserve">„Was für ein </w:t>
      </w:r>
      <w:proofErr w:type="spellStart"/>
      <w:r>
        <w:rPr>
          <w:rFonts w:ascii="Times New Roman" w:hAnsi="Times New Roman" w:cs="Times New Roman"/>
          <w:sz w:val="20"/>
          <w:szCs w:val="20"/>
        </w:rPr>
        <w:t>Bewußtsein</w:t>
      </w:r>
      <w:proofErr w:type="spellEnd"/>
      <w:r>
        <w:rPr>
          <w:rFonts w:ascii="Times New Roman" w:hAnsi="Times New Roman" w:cs="Times New Roman"/>
          <w:sz w:val="20"/>
          <w:szCs w:val="20"/>
        </w:rPr>
        <w:t xml:space="preserve"> weiter wird, ist die Erfahrung, was der Geist ist, diese absolute Substanz, welche in der vollkommenen Freiheit und Selbständigkeit ihres Gegensatzes, nämlich verschiedener für sich seiender </w:t>
      </w:r>
      <w:proofErr w:type="spellStart"/>
      <w:r>
        <w:rPr>
          <w:rFonts w:ascii="Times New Roman" w:hAnsi="Times New Roman" w:cs="Times New Roman"/>
          <w:sz w:val="20"/>
          <w:szCs w:val="20"/>
        </w:rPr>
        <w:t>Selbstbewußtseine</w:t>
      </w:r>
      <w:proofErr w:type="spellEnd"/>
      <w:r>
        <w:rPr>
          <w:rFonts w:ascii="Times New Roman" w:hAnsi="Times New Roman" w:cs="Times New Roman"/>
          <w:sz w:val="20"/>
          <w:szCs w:val="20"/>
        </w:rPr>
        <w:t>,</w:t>
      </w:r>
      <w:r w:rsidR="001F58E4">
        <w:rPr>
          <w:rFonts w:ascii="Times New Roman" w:hAnsi="Times New Roman" w:cs="Times New Roman"/>
          <w:sz w:val="24"/>
          <w:szCs w:val="24"/>
        </w:rPr>
        <w:t xml:space="preserve"> </w:t>
      </w:r>
      <w:r>
        <w:rPr>
          <w:rFonts w:ascii="Times New Roman" w:hAnsi="Times New Roman" w:cs="Times New Roman"/>
          <w:sz w:val="20"/>
          <w:szCs w:val="20"/>
        </w:rPr>
        <w:t xml:space="preserve">die Einheit derselben ist; Ich, </w:t>
      </w:r>
      <w:proofErr w:type="gramStart"/>
      <w:r>
        <w:rPr>
          <w:rFonts w:ascii="Times New Roman" w:hAnsi="Times New Roman" w:cs="Times New Roman"/>
          <w:sz w:val="20"/>
          <w:szCs w:val="20"/>
        </w:rPr>
        <w:t>das</w:t>
      </w:r>
      <w:proofErr w:type="gramEnd"/>
      <w:r>
        <w:rPr>
          <w:rFonts w:ascii="Times New Roman" w:hAnsi="Times New Roman" w:cs="Times New Roman"/>
          <w:sz w:val="20"/>
          <w:szCs w:val="20"/>
        </w:rPr>
        <w:t xml:space="preserve"> Wi</w:t>
      </w:r>
      <w:r w:rsidR="00012718">
        <w:rPr>
          <w:rFonts w:ascii="Times New Roman" w:hAnsi="Times New Roman" w:cs="Times New Roman"/>
          <w:sz w:val="20"/>
          <w:szCs w:val="20"/>
        </w:rPr>
        <w:t>r</w:t>
      </w:r>
      <w:r>
        <w:rPr>
          <w:rFonts w:ascii="Times New Roman" w:hAnsi="Times New Roman" w:cs="Times New Roman"/>
          <w:sz w:val="20"/>
          <w:szCs w:val="20"/>
        </w:rPr>
        <w:t>, und Wir, das Ich ist.“</w:t>
      </w:r>
      <w:r>
        <w:rPr>
          <w:rStyle w:val="Funotenzeichen"/>
          <w:rFonts w:ascii="Times New Roman" w:hAnsi="Times New Roman" w:cs="Times New Roman"/>
          <w:sz w:val="20"/>
          <w:szCs w:val="20"/>
        </w:rPr>
        <w:footnoteReference w:id="15"/>
      </w:r>
    </w:p>
    <w:p w14:paraId="5D78CB71" w14:textId="371DF5C0" w:rsidR="00C537A4" w:rsidRDefault="005E4D25" w:rsidP="009A6FCE">
      <w:pPr>
        <w:spacing w:line="360" w:lineRule="auto"/>
        <w:rPr>
          <w:rFonts w:ascii="Times New Roman" w:hAnsi="Times New Roman" w:cs="Times New Roman"/>
          <w:sz w:val="24"/>
          <w:szCs w:val="24"/>
        </w:rPr>
      </w:pPr>
      <w:r>
        <w:rPr>
          <w:rFonts w:ascii="Times New Roman" w:hAnsi="Times New Roman" w:cs="Times New Roman"/>
          <w:sz w:val="24"/>
          <w:szCs w:val="24"/>
        </w:rPr>
        <w:t xml:space="preserve">Die Vernunft wird folglich Geist, „indem die </w:t>
      </w:r>
      <w:proofErr w:type="spellStart"/>
      <w:r>
        <w:rPr>
          <w:rFonts w:ascii="Times New Roman" w:hAnsi="Times New Roman" w:cs="Times New Roman"/>
          <w:sz w:val="24"/>
          <w:szCs w:val="24"/>
        </w:rPr>
        <w:t>Gewißheit</w:t>
      </w:r>
      <w:proofErr w:type="spellEnd"/>
      <w:r>
        <w:rPr>
          <w:rFonts w:ascii="Times New Roman" w:hAnsi="Times New Roman" w:cs="Times New Roman"/>
          <w:sz w:val="24"/>
          <w:szCs w:val="24"/>
        </w:rPr>
        <w:t xml:space="preserve">, alle Realität zu sein, zur Wahrheit erhoben und sie sich ihrer selbst als ihrer Welt und der Welt als ihrer selbst </w:t>
      </w:r>
      <w:proofErr w:type="spellStart"/>
      <w:r>
        <w:rPr>
          <w:rFonts w:ascii="Times New Roman" w:hAnsi="Times New Roman" w:cs="Times New Roman"/>
          <w:sz w:val="24"/>
          <w:szCs w:val="24"/>
        </w:rPr>
        <w:t>bewußt</w:t>
      </w:r>
      <w:proofErr w:type="spellEnd"/>
      <w:r>
        <w:rPr>
          <w:rFonts w:ascii="Times New Roman" w:hAnsi="Times New Roman" w:cs="Times New Roman"/>
          <w:sz w:val="24"/>
          <w:szCs w:val="24"/>
        </w:rPr>
        <w:t xml:space="preserve"> ist.“</w:t>
      </w:r>
      <w:r>
        <w:rPr>
          <w:rStyle w:val="Funotenzeichen"/>
          <w:rFonts w:ascii="Times New Roman" w:hAnsi="Times New Roman" w:cs="Times New Roman"/>
          <w:sz w:val="24"/>
          <w:szCs w:val="24"/>
        </w:rPr>
        <w:footnoteReference w:id="16"/>
      </w:r>
      <w:r w:rsidR="00D57EA3">
        <w:rPr>
          <w:rFonts w:ascii="Times New Roman" w:hAnsi="Times New Roman" w:cs="Times New Roman"/>
          <w:sz w:val="24"/>
          <w:szCs w:val="24"/>
        </w:rPr>
        <w:t xml:space="preserve"> </w:t>
      </w:r>
      <w:r w:rsidR="00C85977">
        <w:rPr>
          <w:rFonts w:ascii="Times New Roman" w:hAnsi="Times New Roman" w:cs="Times New Roman"/>
          <w:sz w:val="24"/>
          <w:szCs w:val="24"/>
        </w:rPr>
        <w:t>In seine Ausführungen über den Geist als „das sittliche Leben eines Volks“</w:t>
      </w:r>
      <w:r w:rsidR="00C85977">
        <w:rPr>
          <w:rStyle w:val="Funotenzeichen"/>
          <w:rFonts w:ascii="Times New Roman" w:hAnsi="Times New Roman" w:cs="Times New Roman"/>
          <w:sz w:val="24"/>
          <w:szCs w:val="24"/>
        </w:rPr>
        <w:footnoteReference w:id="17"/>
      </w:r>
      <w:r w:rsidR="00A93410">
        <w:rPr>
          <w:rFonts w:ascii="Times New Roman" w:hAnsi="Times New Roman" w:cs="Times New Roman"/>
          <w:sz w:val="24"/>
          <w:szCs w:val="24"/>
        </w:rPr>
        <w:t xml:space="preserve"> bettet er seine Interpretation der </w:t>
      </w:r>
      <w:r w:rsidR="00A93410">
        <w:rPr>
          <w:rFonts w:ascii="Times New Roman" w:hAnsi="Times New Roman" w:cs="Times New Roman"/>
          <w:i/>
          <w:sz w:val="24"/>
          <w:szCs w:val="24"/>
        </w:rPr>
        <w:t>Antigone</w:t>
      </w:r>
      <w:r w:rsidR="00A93410">
        <w:rPr>
          <w:rFonts w:ascii="Times New Roman" w:hAnsi="Times New Roman" w:cs="Times New Roman"/>
          <w:sz w:val="24"/>
          <w:szCs w:val="24"/>
        </w:rPr>
        <w:t>-Tragödie ein, aus der er</w:t>
      </w:r>
      <w:r w:rsidR="007C2F95">
        <w:rPr>
          <w:rFonts w:ascii="Times New Roman" w:hAnsi="Times New Roman" w:cs="Times New Roman"/>
          <w:sz w:val="24"/>
          <w:szCs w:val="24"/>
        </w:rPr>
        <w:t xml:space="preserve"> in dem Zusammenhang</w:t>
      </w:r>
      <w:r w:rsidR="00A93410">
        <w:rPr>
          <w:rFonts w:ascii="Times New Roman" w:hAnsi="Times New Roman" w:cs="Times New Roman"/>
          <w:sz w:val="24"/>
          <w:szCs w:val="24"/>
        </w:rPr>
        <w:t xml:space="preserve"> nicht zitiert, die aber programmatisch für sein Verständnis für die Gliederung der politischen Einheit ist, die er schildert.</w:t>
      </w:r>
      <w:r w:rsidR="00C63E82">
        <w:rPr>
          <w:rFonts w:ascii="Times New Roman" w:hAnsi="Times New Roman" w:cs="Times New Roman"/>
          <w:sz w:val="24"/>
          <w:szCs w:val="24"/>
        </w:rPr>
        <w:t xml:space="preserve"> Wie sich bereits im oben aufgeführten Zitat andeutet,</w:t>
      </w:r>
      <w:r w:rsidR="00C63E82">
        <w:rPr>
          <w:rStyle w:val="Funotenzeichen"/>
          <w:rFonts w:ascii="Times New Roman" w:hAnsi="Times New Roman" w:cs="Times New Roman"/>
          <w:sz w:val="24"/>
          <w:szCs w:val="24"/>
        </w:rPr>
        <w:footnoteReference w:id="18"/>
      </w:r>
      <w:r w:rsidR="003773D6">
        <w:rPr>
          <w:rFonts w:ascii="Times New Roman" w:hAnsi="Times New Roman" w:cs="Times New Roman"/>
          <w:sz w:val="24"/>
          <w:szCs w:val="24"/>
        </w:rPr>
        <w:t xml:space="preserve"> ist für das Verständnis der </w:t>
      </w:r>
      <w:proofErr w:type="spellStart"/>
      <w:r w:rsidR="003773D6">
        <w:rPr>
          <w:rFonts w:ascii="Times New Roman" w:hAnsi="Times New Roman" w:cs="Times New Roman"/>
          <w:sz w:val="24"/>
          <w:szCs w:val="24"/>
        </w:rPr>
        <w:t>Hegel’schen</w:t>
      </w:r>
      <w:proofErr w:type="spellEnd"/>
      <w:r w:rsidR="003773D6">
        <w:rPr>
          <w:rFonts w:ascii="Times New Roman" w:hAnsi="Times New Roman" w:cs="Times New Roman"/>
          <w:sz w:val="24"/>
          <w:szCs w:val="24"/>
        </w:rPr>
        <w:t xml:space="preserve"> Ausführungen der Begriff der „Substanz“ zentral, der anders als in der klassischen aristotelischen Metaphysik nicht das Zugrundliegende des einzelnen Dings, das „Ding an sich“ meint, sondern „de[n] unverrückte[n] und unaufgelöste[n] Grund und Ausgangspunkt des Tuns Aller und ihr Zweck und Ziel, als </w:t>
      </w:r>
      <w:proofErr w:type="gramStart"/>
      <w:r w:rsidR="003773D6">
        <w:rPr>
          <w:rFonts w:ascii="Times New Roman" w:hAnsi="Times New Roman" w:cs="Times New Roman"/>
          <w:sz w:val="24"/>
          <w:szCs w:val="24"/>
        </w:rPr>
        <w:t>das gedachte Ansich</w:t>
      </w:r>
      <w:r w:rsidR="003C276A">
        <w:rPr>
          <w:rFonts w:ascii="Times New Roman" w:hAnsi="Times New Roman" w:cs="Times New Roman"/>
          <w:sz w:val="24"/>
          <w:szCs w:val="24"/>
        </w:rPr>
        <w:t>t</w:t>
      </w:r>
      <w:proofErr w:type="gramEnd"/>
      <w:r w:rsidR="003773D6">
        <w:rPr>
          <w:rFonts w:ascii="Times New Roman" w:hAnsi="Times New Roman" w:cs="Times New Roman"/>
          <w:sz w:val="24"/>
          <w:szCs w:val="24"/>
        </w:rPr>
        <w:t xml:space="preserve"> aller </w:t>
      </w:r>
      <w:proofErr w:type="spellStart"/>
      <w:r w:rsidR="003773D6">
        <w:rPr>
          <w:rFonts w:ascii="Times New Roman" w:hAnsi="Times New Roman" w:cs="Times New Roman"/>
          <w:sz w:val="24"/>
          <w:szCs w:val="24"/>
        </w:rPr>
        <w:t>Selbstbewußtseine</w:t>
      </w:r>
      <w:proofErr w:type="spellEnd"/>
      <w:r w:rsidR="003773D6">
        <w:rPr>
          <w:rFonts w:ascii="Times New Roman" w:hAnsi="Times New Roman" w:cs="Times New Roman"/>
          <w:sz w:val="24"/>
          <w:szCs w:val="24"/>
        </w:rPr>
        <w:t>“</w:t>
      </w:r>
      <w:r w:rsidR="003773D6">
        <w:rPr>
          <w:rStyle w:val="Funotenzeichen"/>
          <w:rFonts w:ascii="Times New Roman" w:hAnsi="Times New Roman" w:cs="Times New Roman"/>
          <w:sz w:val="24"/>
          <w:szCs w:val="24"/>
        </w:rPr>
        <w:footnoteReference w:id="19"/>
      </w:r>
      <w:r w:rsidR="00CE02FA">
        <w:rPr>
          <w:rFonts w:ascii="Times New Roman" w:hAnsi="Times New Roman" w:cs="Times New Roman"/>
          <w:sz w:val="24"/>
          <w:szCs w:val="24"/>
        </w:rPr>
        <w:t xml:space="preserve"> bestimmt.</w:t>
      </w:r>
      <w:r w:rsidR="002427B0">
        <w:rPr>
          <w:rFonts w:ascii="Times New Roman" w:hAnsi="Times New Roman" w:cs="Times New Roman"/>
          <w:sz w:val="24"/>
          <w:szCs w:val="24"/>
        </w:rPr>
        <w:t xml:space="preserve"> An diese </w:t>
      </w:r>
      <w:r w:rsidR="00C0655B">
        <w:rPr>
          <w:rFonts w:ascii="Times New Roman" w:hAnsi="Times New Roman" w:cs="Times New Roman"/>
          <w:sz w:val="24"/>
          <w:szCs w:val="24"/>
        </w:rPr>
        <w:t>Definition</w:t>
      </w:r>
      <w:r w:rsidR="002427B0">
        <w:rPr>
          <w:rFonts w:ascii="Times New Roman" w:hAnsi="Times New Roman" w:cs="Times New Roman"/>
          <w:sz w:val="24"/>
          <w:szCs w:val="24"/>
        </w:rPr>
        <w:t xml:space="preserve"> knüpft Hegel seine komplexe </w:t>
      </w:r>
      <w:r w:rsidR="00C0655B">
        <w:rPr>
          <w:rFonts w:ascii="Times New Roman" w:hAnsi="Times New Roman" w:cs="Times New Roman"/>
          <w:sz w:val="24"/>
          <w:szCs w:val="24"/>
        </w:rPr>
        <w:t>Theorie</w:t>
      </w:r>
      <w:r w:rsidR="002427B0">
        <w:rPr>
          <w:rFonts w:ascii="Times New Roman" w:hAnsi="Times New Roman" w:cs="Times New Roman"/>
          <w:sz w:val="24"/>
          <w:szCs w:val="24"/>
        </w:rPr>
        <w:t xml:space="preserve"> sittlichen Handelns: </w:t>
      </w:r>
    </w:p>
    <w:p w14:paraId="40743C36" w14:textId="7C2263F1" w:rsidR="00C0655B" w:rsidRDefault="00C0655B" w:rsidP="009A6FCE">
      <w:pPr>
        <w:spacing w:line="360" w:lineRule="auto"/>
        <w:rPr>
          <w:rFonts w:ascii="Times New Roman" w:hAnsi="Times New Roman" w:cs="Times New Roman"/>
          <w:sz w:val="20"/>
          <w:szCs w:val="20"/>
        </w:rPr>
      </w:pPr>
      <w:r>
        <w:rPr>
          <w:rFonts w:ascii="Times New Roman" w:hAnsi="Times New Roman" w:cs="Times New Roman"/>
          <w:sz w:val="20"/>
          <w:szCs w:val="20"/>
        </w:rPr>
        <w:t xml:space="preserve">„Die Handlung trennt [den Geist] in die Substanz und das Bewusstsein derselben und trennt </w:t>
      </w:r>
      <w:proofErr w:type="spellStart"/>
      <w:r>
        <w:rPr>
          <w:rFonts w:ascii="Times New Roman" w:hAnsi="Times New Roman" w:cs="Times New Roman"/>
          <w:sz w:val="20"/>
          <w:szCs w:val="20"/>
        </w:rPr>
        <w:t>ebensowohl</w:t>
      </w:r>
      <w:proofErr w:type="spellEnd"/>
      <w:r>
        <w:rPr>
          <w:rFonts w:ascii="Times New Roman" w:hAnsi="Times New Roman" w:cs="Times New Roman"/>
          <w:sz w:val="20"/>
          <w:szCs w:val="20"/>
        </w:rPr>
        <w:t xml:space="preserve"> die Substanz als das </w:t>
      </w:r>
      <w:proofErr w:type="spellStart"/>
      <w:r>
        <w:rPr>
          <w:rFonts w:ascii="Times New Roman" w:hAnsi="Times New Roman" w:cs="Times New Roman"/>
          <w:sz w:val="20"/>
          <w:szCs w:val="20"/>
        </w:rPr>
        <w:t>Bewußtsein</w:t>
      </w:r>
      <w:proofErr w:type="spellEnd"/>
      <w:r>
        <w:rPr>
          <w:rFonts w:ascii="Times New Roman" w:hAnsi="Times New Roman" w:cs="Times New Roman"/>
          <w:sz w:val="20"/>
          <w:szCs w:val="20"/>
        </w:rPr>
        <w:t xml:space="preserve">. Die Substanz tritt, als allgemeines Wesen und Zweck, sich als der vereinzelten Wirklichkeit gegenüber; die unendliche Mitte ist das </w:t>
      </w:r>
      <w:proofErr w:type="spellStart"/>
      <w:r>
        <w:rPr>
          <w:rFonts w:ascii="Times New Roman" w:hAnsi="Times New Roman" w:cs="Times New Roman"/>
          <w:sz w:val="20"/>
          <w:szCs w:val="20"/>
        </w:rPr>
        <w:t>Selbstbewußtsein</w:t>
      </w:r>
      <w:proofErr w:type="spellEnd"/>
      <w:r>
        <w:rPr>
          <w:rFonts w:ascii="Times New Roman" w:hAnsi="Times New Roman" w:cs="Times New Roman"/>
          <w:sz w:val="20"/>
          <w:szCs w:val="20"/>
        </w:rPr>
        <w:t xml:space="preserve">, welches an sich Einheit seiner und der Substanz, es nun für sich wird, das allgemeine Wesen und seine vereinzelte Wirklichkeit vereint, diese zu jenem erhebt und sittlich handelt – und jenes zu dieser herunterbringt und den Zweck, die nur gedachte Substanz ausführt; es bringt die Einheit seines </w:t>
      </w:r>
      <w:proofErr w:type="spellStart"/>
      <w:r>
        <w:rPr>
          <w:rFonts w:ascii="Times New Roman" w:hAnsi="Times New Roman" w:cs="Times New Roman"/>
          <w:sz w:val="20"/>
          <w:szCs w:val="20"/>
        </w:rPr>
        <w:t>Selbsts</w:t>
      </w:r>
      <w:proofErr w:type="spellEnd"/>
      <w:r>
        <w:rPr>
          <w:rFonts w:ascii="Times New Roman" w:hAnsi="Times New Roman" w:cs="Times New Roman"/>
          <w:sz w:val="20"/>
          <w:szCs w:val="20"/>
        </w:rPr>
        <w:t xml:space="preserve"> und der Substanz als sein Werk und damit als Wirklichkeit hervor.</w:t>
      </w:r>
      <w:r>
        <w:rPr>
          <w:rStyle w:val="Funotenzeichen"/>
          <w:rFonts w:ascii="Times New Roman" w:hAnsi="Times New Roman" w:cs="Times New Roman"/>
          <w:sz w:val="20"/>
          <w:szCs w:val="20"/>
        </w:rPr>
        <w:footnoteReference w:id="20"/>
      </w:r>
    </w:p>
    <w:p w14:paraId="225D2416" w14:textId="77777777" w:rsidR="00734CA8" w:rsidRDefault="00D14C8A" w:rsidP="009A6FCE">
      <w:pPr>
        <w:spacing w:line="360" w:lineRule="auto"/>
        <w:rPr>
          <w:rFonts w:ascii="Times New Roman" w:hAnsi="Times New Roman" w:cs="Times New Roman"/>
          <w:sz w:val="24"/>
          <w:szCs w:val="24"/>
        </w:rPr>
      </w:pPr>
      <w:r>
        <w:rPr>
          <w:rFonts w:ascii="Times New Roman" w:hAnsi="Times New Roman" w:cs="Times New Roman"/>
          <w:sz w:val="24"/>
          <w:szCs w:val="24"/>
        </w:rPr>
        <w:t>Damit das Individuum</w:t>
      </w:r>
      <w:r w:rsidR="00E51064">
        <w:rPr>
          <w:rFonts w:ascii="Times New Roman" w:hAnsi="Times New Roman" w:cs="Times New Roman"/>
          <w:sz w:val="24"/>
          <w:szCs w:val="24"/>
        </w:rPr>
        <w:t xml:space="preserve"> also</w:t>
      </w:r>
      <w:r>
        <w:rPr>
          <w:rFonts w:ascii="Times New Roman" w:hAnsi="Times New Roman" w:cs="Times New Roman"/>
          <w:sz w:val="24"/>
          <w:szCs w:val="24"/>
        </w:rPr>
        <w:t xml:space="preserve"> die Einheit zwischen ihm selbst und seiner politischen Gemeinschaft realisieren kann, ist es auf die sittliche Handlung angewiesen</w:t>
      </w:r>
      <w:r w:rsidR="00E51064">
        <w:rPr>
          <w:rFonts w:ascii="Times New Roman" w:hAnsi="Times New Roman" w:cs="Times New Roman"/>
          <w:sz w:val="24"/>
          <w:szCs w:val="24"/>
        </w:rPr>
        <w:t xml:space="preserve">, mit der es die </w:t>
      </w:r>
      <w:r w:rsidR="00E51064">
        <w:rPr>
          <w:rFonts w:ascii="Times New Roman" w:hAnsi="Times New Roman" w:cs="Times New Roman"/>
          <w:i/>
          <w:sz w:val="24"/>
          <w:szCs w:val="24"/>
        </w:rPr>
        <w:t xml:space="preserve">an </w:t>
      </w:r>
      <w:r w:rsidR="00E51064">
        <w:rPr>
          <w:rFonts w:ascii="Times New Roman" w:hAnsi="Times New Roman" w:cs="Times New Roman"/>
          <w:i/>
          <w:sz w:val="24"/>
          <w:szCs w:val="24"/>
        </w:rPr>
        <w:lastRenderedPageBreak/>
        <w:t>sich</w:t>
      </w:r>
      <w:r w:rsidR="00E51064">
        <w:rPr>
          <w:rFonts w:ascii="Times New Roman" w:hAnsi="Times New Roman" w:cs="Times New Roman"/>
          <w:sz w:val="24"/>
          <w:szCs w:val="24"/>
        </w:rPr>
        <w:t xml:space="preserve"> bereits bestehende Einheit als </w:t>
      </w:r>
      <w:r w:rsidR="00E51064">
        <w:rPr>
          <w:rFonts w:ascii="Times New Roman" w:hAnsi="Times New Roman" w:cs="Times New Roman"/>
          <w:i/>
          <w:sz w:val="24"/>
          <w:szCs w:val="24"/>
        </w:rPr>
        <w:t xml:space="preserve">für sich </w:t>
      </w:r>
      <w:r w:rsidR="00E51064">
        <w:rPr>
          <w:rFonts w:ascii="Times New Roman" w:hAnsi="Times New Roman" w:cs="Times New Roman"/>
          <w:sz w:val="24"/>
          <w:szCs w:val="24"/>
        </w:rPr>
        <w:t>bestehende</w:t>
      </w:r>
      <w:r w:rsidR="00CD7381">
        <w:rPr>
          <w:rFonts w:ascii="Times New Roman" w:hAnsi="Times New Roman" w:cs="Times New Roman"/>
          <w:sz w:val="24"/>
          <w:szCs w:val="24"/>
        </w:rPr>
        <w:t>, indem es, wie Hegel meint, ein „Werk“ vollbringt, erweist</w:t>
      </w:r>
      <w:r>
        <w:rPr>
          <w:rFonts w:ascii="Times New Roman" w:hAnsi="Times New Roman" w:cs="Times New Roman"/>
          <w:sz w:val="24"/>
          <w:szCs w:val="24"/>
        </w:rPr>
        <w:t>. Zugleich</w:t>
      </w:r>
      <w:r w:rsidR="00E51064">
        <w:rPr>
          <w:rFonts w:ascii="Times New Roman" w:hAnsi="Times New Roman" w:cs="Times New Roman"/>
          <w:sz w:val="24"/>
          <w:szCs w:val="24"/>
        </w:rPr>
        <w:t xml:space="preserve"> </w:t>
      </w:r>
      <w:r w:rsidR="00CD7381">
        <w:rPr>
          <w:rFonts w:ascii="Times New Roman" w:hAnsi="Times New Roman" w:cs="Times New Roman"/>
          <w:sz w:val="24"/>
          <w:szCs w:val="24"/>
        </w:rPr>
        <w:t>zeigt</w:t>
      </w:r>
      <w:r>
        <w:rPr>
          <w:rFonts w:ascii="Times New Roman" w:hAnsi="Times New Roman" w:cs="Times New Roman"/>
          <w:sz w:val="24"/>
          <w:szCs w:val="24"/>
        </w:rPr>
        <w:t xml:space="preserve"> aber gerade </w:t>
      </w:r>
      <w:r w:rsidR="00E51064">
        <w:rPr>
          <w:rFonts w:ascii="Times New Roman" w:hAnsi="Times New Roman" w:cs="Times New Roman"/>
          <w:sz w:val="24"/>
          <w:szCs w:val="24"/>
        </w:rPr>
        <w:t>die</w:t>
      </w:r>
      <w:r w:rsidR="00CD7381">
        <w:rPr>
          <w:rFonts w:ascii="Times New Roman" w:hAnsi="Times New Roman" w:cs="Times New Roman"/>
          <w:sz w:val="24"/>
          <w:szCs w:val="24"/>
        </w:rPr>
        <w:t>se sittliche</w:t>
      </w:r>
      <w:r w:rsidR="00E51064">
        <w:rPr>
          <w:rFonts w:ascii="Times New Roman" w:hAnsi="Times New Roman" w:cs="Times New Roman"/>
          <w:sz w:val="24"/>
          <w:szCs w:val="24"/>
        </w:rPr>
        <w:t xml:space="preserve"> Handlung</w:t>
      </w:r>
      <w:r w:rsidR="00A601E0">
        <w:rPr>
          <w:rFonts w:ascii="Times New Roman" w:hAnsi="Times New Roman" w:cs="Times New Roman"/>
          <w:sz w:val="24"/>
          <w:szCs w:val="24"/>
        </w:rPr>
        <w:t xml:space="preserve"> nach Hegel</w:t>
      </w:r>
      <w:r w:rsidR="00E51064">
        <w:rPr>
          <w:rFonts w:ascii="Times New Roman" w:hAnsi="Times New Roman" w:cs="Times New Roman"/>
          <w:sz w:val="24"/>
          <w:szCs w:val="24"/>
        </w:rPr>
        <w:t xml:space="preserve">, </w:t>
      </w:r>
      <w:r w:rsidR="00CD7381">
        <w:rPr>
          <w:rFonts w:ascii="Times New Roman" w:hAnsi="Times New Roman" w:cs="Times New Roman"/>
          <w:sz w:val="24"/>
          <w:szCs w:val="24"/>
        </w:rPr>
        <w:t>durch die das Individuum seine Einigkeit</w:t>
      </w:r>
      <w:r w:rsidR="00A601E0">
        <w:rPr>
          <w:rFonts w:ascii="Times New Roman" w:hAnsi="Times New Roman" w:cs="Times New Roman"/>
          <w:sz w:val="24"/>
          <w:szCs w:val="24"/>
        </w:rPr>
        <w:t xml:space="preserve"> mit</w:t>
      </w:r>
      <w:r w:rsidR="00CD7381">
        <w:rPr>
          <w:rFonts w:ascii="Times New Roman" w:hAnsi="Times New Roman" w:cs="Times New Roman"/>
          <w:sz w:val="24"/>
          <w:szCs w:val="24"/>
        </w:rPr>
        <w:t xml:space="preserve"> seinem Gemeinwesen vollzieht, </w:t>
      </w:r>
      <w:r w:rsidR="001C1F0E">
        <w:rPr>
          <w:rFonts w:ascii="Times New Roman" w:hAnsi="Times New Roman" w:cs="Times New Roman"/>
          <w:sz w:val="24"/>
          <w:szCs w:val="24"/>
        </w:rPr>
        <w:t>dass diese sich zwischen zwei</w:t>
      </w:r>
      <w:r w:rsidR="00B13636">
        <w:rPr>
          <w:rFonts w:ascii="Times New Roman" w:hAnsi="Times New Roman" w:cs="Times New Roman"/>
          <w:sz w:val="24"/>
          <w:szCs w:val="24"/>
        </w:rPr>
        <w:t xml:space="preserve"> voneinander</w:t>
      </w:r>
      <w:r w:rsidR="001C1F0E">
        <w:rPr>
          <w:rFonts w:ascii="Times New Roman" w:hAnsi="Times New Roman" w:cs="Times New Roman"/>
          <w:sz w:val="24"/>
          <w:szCs w:val="24"/>
        </w:rPr>
        <w:t xml:space="preserve"> unterschiedenen Körpern vollzieht</w:t>
      </w:r>
      <w:r w:rsidR="00FA3ABD">
        <w:rPr>
          <w:rFonts w:ascii="Times New Roman" w:hAnsi="Times New Roman" w:cs="Times New Roman"/>
          <w:sz w:val="24"/>
          <w:szCs w:val="24"/>
        </w:rPr>
        <w:t>, indem</w:t>
      </w:r>
      <w:r w:rsidR="001A206D">
        <w:rPr>
          <w:rFonts w:ascii="Times New Roman" w:hAnsi="Times New Roman" w:cs="Times New Roman"/>
          <w:sz w:val="24"/>
          <w:szCs w:val="24"/>
        </w:rPr>
        <w:t xml:space="preserve"> die</w:t>
      </w:r>
      <w:r w:rsidR="00FA3ABD">
        <w:rPr>
          <w:rFonts w:ascii="Times New Roman" w:hAnsi="Times New Roman" w:cs="Times New Roman"/>
          <w:sz w:val="24"/>
          <w:szCs w:val="24"/>
        </w:rPr>
        <w:t xml:space="preserve"> </w:t>
      </w:r>
    </w:p>
    <w:p w14:paraId="4E60FFB3" w14:textId="30262951" w:rsidR="00E30463" w:rsidRDefault="00FA3ABD" w:rsidP="009A6FCE">
      <w:pPr>
        <w:spacing w:line="360" w:lineRule="auto"/>
        <w:rPr>
          <w:rFonts w:ascii="Times New Roman" w:hAnsi="Times New Roman" w:cs="Times New Roman"/>
          <w:sz w:val="20"/>
          <w:szCs w:val="20"/>
        </w:rPr>
      </w:pPr>
      <w:r w:rsidRPr="00734CA8">
        <w:rPr>
          <w:rFonts w:ascii="Times New Roman" w:hAnsi="Times New Roman" w:cs="Times New Roman"/>
          <w:sz w:val="20"/>
          <w:szCs w:val="20"/>
        </w:rPr>
        <w:t>„Substanz den Gegensatz</w:t>
      </w:r>
      <w:r w:rsidR="001A206D" w:rsidRPr="00734CA8">
        <w:rPr>
          <w:rFonts w:ascii="Times New Roman" w:hAnsi="Times New Roman" w:cs="Times New Roman"/>
          <w:sz w:val="20"/>
          <w:szCs w:val="20"/>
        </w:rPr>
        <w:t xml:space="preserve"> teils </w:t>
      </w:r>
      <w:r w:rsidRPr="00734CA8">
        <w:rPr>
          <w:rFonts w:ascii="Times New Roman" w:hAnsi="Times New Roman" w:cs="Times New Roman"/>
          <w:sz w:val="20"/>
          <w:szCs w:val="20"/>
        </w:rPr>
        <w:t xml:space="preserve">gegen das </w:t>
      </w:r>
      <w:proofErr w:type="spellStart"/>
      <w:r w:rsidRPr="00734CA8">
        <w:rPr>
          <w:rFonts w:ascii="Times New Roman" w:hAnsi="Times New Roman" w:cs="Times New Roman"/>
          <w:sz w:val="20"/>
          <w:szCs w:val="20"/>
        </w:rPr>
        <w:t>Bewußtsein</w:t>
      </w:r>
      <w:proofErr w:type="spellEnd"/>
      <w:r w:rsidRPr="00734CA8">
        <w:rPr>
          <w:rFonts w:ascii="Times New Roman" w:hAnsi="Times New Roman" w:cs="Times New Roman"/>
          <w:sz w:val="20"/>
          <w:szCs w:val="20"/>
        </w:rPr>
        <w:t xml:space="preserve"> erhalten hat</w:t>
      </w:r>
      <w:r w:rsidR="001A206D" w:rsidRPr="00734CA8">
        <w:rPr>
          <w:rFonts w:ascii="Times New Roman" w:hAnsi="Times New Roman" w:cs="Times New Roman"/>
          <w:sz w:val="20"/>
          <w:szCs w:val="20"/>
        </w:rPr>
        <w:t xml:space="preserve">, teils </w:t>
      </w:r>
      <w:proofErr w:type="spellStart"/>
      <w:r w:rsidR="001A206D" w:rsidRPr="00734CA8">
        <w:rPr>
          <w:rFonts w:ascii="Times New Roman" w:hAnsi="Times New Roman" w:cs="Times New Roman"/>
          <w:sz w:val="20"/>
          <w:szCs w:val="20"/>
        </w:rPr>
        <w:t>ebensosehr</w:t>
      </w:r>
      <w:proofErr w:type="spellEnd"/>
      <w:r w:rsidR="001A206D" w:rsidRPr="00734CA8">
        <w:rPr>
          <w:rFonts w:ascii="Times New Roman" w:hAnsi="Times New Roman" w:cs="Times New Roman"/>
          <w:sz w:val="20"/>
          <w:szCs w:val="20"/>
        </w:rPr>
        <w:t xml:space="preserve"> an ihr selbst die Natur des </w:t>
      </w:r>
      <w:proofErr w:type="spellStart"/>
      <w:r w:rsidR="001A206D" w:rsidRPr="00734CA8">
        <w:rPr>
          <w:rFonts w:ascii="Times New Roman" w:hAnsi="Times New Roman" w:cs="Times New Roman"/>
          <w:sz w:val="20"/>
          <w:szCs w:val="20"/>
        </w:rPr>
        <w:t>Bewußtseins</w:t>
      </w:r>
      <w:proofErr w:type="spellEnd"/>
      <w:r w:rsidR="001A206D" w:rsidRPr="00734CA8">
        <w:rPr>
          <w:rFonts w:ascii="Times New Roman" w:hAnsi="Times New Roman" w:cs="Times New Roman"/>
          <w:sz w:val="20"/>
          <w:szCs w:val="20"/>
        </w:rPr>
        <w:t xml:space="preserve"> [stellt]</w:t>
      </w:r>
      <w:r w:rsidR="00DF6230" w:rsidRPr="00734CA8">
        <w:rPr>
          <w:rFonts w:ascii="Times New Roman" w:hAnsi="Times New Roman" w:cs="Times New Roman"/>
          <w:sz w:val="20"/>
          <w:szCs w:val="20"/>
        </w:rPr>
        <w:t xml:space="preserve"> (…)</w:t>
      </w:r>
      <w:r w:rsidR="001C1F0E" w:rsidRPr="00734CA8">
        <w:rPr>
          <w:rFonts w:ascii="Times New Roman" w:hAnsi="Times New Roman" w:cs="Times New Roman"/>
          <w:sz w:val="20"/>
          <w:szCs w:val="20"/>
        </w:rPr>
        <w:t>.</w:t>
      </w:r>
      <w:r w:rsidR="00734CA8" w:rsidRPr="00734CA8">
        <w:rPr>
          <w:rFonts w:ascii="Times New Roman" w:hAnsi="Times New Roman" w:cs="Times New Roman"/>
          <w:sz w:val="20"/>
          <w:szCs w:val="20"/>
        </w:rPr>
        <w:t xml:space="preserve"> Sie spaltet sich in ein unterschiedenes sittliches Wesen, in ein menschliches und göttliches Gesetz. Ebenso das ihr gegenübertretende </w:t>
      </w:r>
      <w:proofErr w:type="spellStart"/>
      <w:r w:rsidR="00734CA8" w:rsidRPr="00734CA8">
        <w:rPr>
          <w:rFonts w:ascii="Times New Roman" w:hAnsi="Times New Roman" w:cs="Times New Roman"/>
          <w:sz w:val="20"/>
          <w:szCs w:val="20"/>
        </w:rPr>
        <w:t>Selbstbewußtsein</w:t>
      </w:r>
      <w:proofErr w:type="spellEnd"/>
      <w:r w:rsidR="00734CA8" w:rsidRPr="00734CA8">
        <w:rPr>
          <w:rFonts w:ascii="Times New Roman" w:hAnsi="Times New Roman" w:cs="Times New Roman"/>
          <w:sz w:val="20"/>
          <w:szCs w:val="20"/>
        </w:rPr>
        <w:t xml:space="preserve"> teilt sich nach seinem Wesen der einen dieser Mächte zu</w:t>
      </w:r>
      <w:r w:rsidR="00317B51">
        <w:rPr>
          <w:rFonts w:ascii="Times New Roman" w:hAnsi="Times New Roman" w:cs="Times New Roman"/>
          <w:sz w:val="20"/>
          <w:szCs w:val="20"/>
        </w:rPr>
        <w:t>, und als Wissen in die Unwissenheit dessen, was es tut, und in das Wissen desselben, das deswegen ein betrogenes Wissen ist</w:t>
      </w:r>
      <w:r w:rsidR="00734CA8" w:rsidRPr="00734CA8">
        <w:rPr>
          <w:rFonts w:ascii="Times New Roman" w:hAnsi="Times New Roman" w:cs="Times New Roman"/>
          <w:sz w:val="20"/>
          <w:szCs w:val="20"/>
        </w:rPr>
        <w:t>.</w:t>
      </w:r>
      <w:r w:rsidRPr="00734CA8">
        <w:rPr>
          <w:rFonts w:ascii="Times New Roman" w:hAnsi="Times New Roman" w:cs="Times New Roman"/>
          <w:sz w:val="20"/>
          <w:szCs w:val="20"/>
        </w:rPr>
        <w:t>“</w:t>
      </w:r>
      <w:r w:rsidRPr="00734CA8">
        <w:rPr>
          <w:rStyle w:val="Funotenzeichen"/>
          <w:rFonts w:ascii="Times New Roman" w:hAnsi="Times New Roman" w:cs="Times New Roman"/>
          <w:sz w:val="20"/>
          <w:szCs w:val="20"/>
        </w:rPr>
        <w:footnoteReference w:id="21"/>
      </w:r>
      <w:r w:rsidR="00B13636" w:rsidRPr="00734CA8">
        <w:rPr>
          <w:rFonts w:ascii="Times New Roman" w:hAnsi="Times New Roman" w:cs="Times New Roman"/>
          <w:sz w:val="20"/>
          <w:szCs w:val="20"/>
        </w:rPr>
        <w:t xml:space="preserve"> </w:t>
      </w:r>
    </w:p>
    <w:p w14:paraId="6E5D67A5" w14:textId="13EAD841" w:rsidR="00734CA8" w:rsidRDefault="00317B51" w:rsidP="009A6FCE">
      <w:pPr>
        <w:spacing w:line="360" w:lineRule="auto"/>
        <w:rPr>
          <w:rFonts w:ascii="Times New Roman" w:hAnsi="Times New Roman" w:cs="Times New Roman"/>
          <w:sz w:val="24"/>
          <w:szCs w:val="24"/>
        </w:rPr>
      </w:pPr>
      <w:r>
        <w:rPr>
          <w:rFonts w:ascii="Times New Roman" w:hAnsi="Times New Roman" w:cs="Times New Roman"/>
          <w:sz w:val="24"/>
          <w:szCs w:val="24"/>
        </w:rPr>
        <w:t xml:space="preserve">Die sittliche Handlung bewegt sich also in einem Spannungsverhältnis ethischer Normen, den menschlichen und göttlichen Gesetzen, die in der Tragödie von den Figuren Kreon, als Adept des menschlichen Gesetzes, und Antigone, </w:t>
      </w:r>
      <w:r w:rsidR="002654BE">
        <w:rPr>
          <w:rFonts w:ascii="Times New Roman" w:hAnsi="Times New Roman" w:cs="Times New Roman"/>
          <w:sz w:val="24"/>
          <w:szCs w:val="24"/>
        </w:rPr>
        <w:t>als</w:t>
      </w:r>
      <w:r>
        <w:rPr>
          <w:rFonts w:ascii="Times New Roman" w:hAnsi="Times New Roman" w:cs="Times New Roman"/>
          <w:sz w:val="24"/>
          <w:szCs w:val="24"/>
        </w:rPr>
        <w:t xml:space="preserve"> Vertreterin des göttlichen Gesetzes verkörpert werden, die – so Hegel – bereits aus der notwendigen Bezugnahme des menschlichen sittlichen Handelns auf das Gemeinwesen resultiert, aus dem Gegensatz von Einzelnem und Allgemeinem</w:t>
      </w:r>
      <w:r w:rsidR="00315F73">
        <w:rPr>
          <w:rFonts w:ascii="Times New Roman" w:hAnsi="Times New Roman" w:cs="Times New Roman"/>
          <w:sz w:val="24"/>
          <w:szCs w:val="24"/>
        </w:rPr>
        <w:t xml:space="preserve">, da nur so der Geist aus dem formalen Tugendbegriff der Vernunft heraustreten kann – indem sich </w:t>
      </w:r>
      <w:r w:rsidR="00417418">
        <w:rPr>
          <w:rFonts w:ascii="Times New Roman" w:hAnsi="Times New Roman" w:cs="Times New Roman"/>
          <w:sz w:val="24"/>
          <w:szCs w:val="24"/>
        </w:rPr>
        <w:t xml:space="preserve">nämlich </w:t>
      </w:r>
      <w:r w:rsidR="00315F73">
        <w:rPr>
          <w:rFonts w:ascii="Times New Roman" w:hAnsi="Times New Roman" w:cs="Times New Roman"/>
          <w:sz w:val="24"/>
          <w:szCs w:val="24"/>
        </w:rPr>
        <w:t>das Individuum seines Verhältnisses zu seiner Umwelt und seinen Mitmenschen bewusst wird</w:t>
      </w:r>
      <w:r>
        <w:rPr>
          <w:rFonts w:ascii="Times New Roman" w:hAnsi="Times New Roman" w:cs="Times New Roman"/>
          <w:sz w:val="24"/>
          <w:szCs w:val="24"/>
        </w:rPr>
        <w:t>.</w:t>
      </w:r>
      <w:r w:rsidR="001A74F8">
        <w:rPr>
          <w:rFonts w:ascii="Times New Roman" w:hAnsi="Times New Roman" w:cs="Times New Roman"/>
          <w:sz w:val="24"/>
          <w:szCs w:val="24"/>
        </w:rPr>
        <w:t xml:space="preserve"> </w:t>
      </w:r>
      <w:r w:rsidR="002654BE">
        <w:rPr>
          <w:rFonts w:ascii="Times New Roman" w:hAnsi="Times New Roman" w:cs="Times New Roman"/>
          <w:sz w:val="24"/>
          <w:szCs w:val="24"/>
        </w:rPr>
        <w:t xml:space="preserve">Die ethische Theorie, die </w:t>
      </w:r>
      <w:r w:rsidR="00CA1930">
        <w:rPr>
          <w:rFonts w:ascii="Times New Roman" w:hAnsi="Times New Roman" w:cs="Times New Roman"/>
          <w:sz w:val="24"/>
          <w:szCs w:val="24"/>
        </w:rPr>
        <w:t>Hegel hier vertritt, radikalisiert d</w:t>
      </w:r>
      <w:r w:rsidR="00703CAD">
        <w:rPr>
          <w:rFonts w:ascii="Times New Roman" w:hAnsi="Times New Roman" w:cs="Times New Roman"/>
          <w:sz w:val="24"/>
          <w:szCs w:val="24"/>
        </w:rPr>
        <w:t>ie von Sophokles</w:t>
      </w:r>
      <w:r w:rsidR="00CA1930">
        <w:rPr>
          <w:rFonts w:ascii="Times New Roman" w:hAnsi="Times New Roman" w:cs="Times New Roman"/>
          <w:sz w:val="24"/>
          <w:szCs w:val="24"/>
        </w:rPr>
        <w:t xml:space="preserve"> in der Tragödie </w:t>
      </w:r>
      <w:r w:rsidR="00703CAD">
        <w:rPr>
          <w:rFonts w:ascii="Times New Roman" w:hAnsi="Times New Roman" w:cs="Times New Roman"/>
          <w:sz w:val="24"/>
          <w:szCs w:val="24"/>
        </w:rPr>
        <w:t>aufgeworfene Problemstellung</w:t>
      </w:r>
      <w:r w:rsidR="00CA1930">
        <w:rPr>
          <w:rFonts w:ascii="Times New Roman" w:hAnsi="Times New Roman" w:cs="Times New Roman"/>
          <w:sz w:val="24"/>
          <w:szCs w:val="24"/>
        </w:rPr>
        <w:t>, weil er den Gegensatz menschlicher und göttlicher Ethik nicht erst i</w:t>
      </w:r>
      <w:r w:rsidR="00A533DD">
        <w:rPr>
          <w:rFonts w:ascii="Times New Roman" w:hAnsi="Times New Roman" w:cs="Times New Roman"/>
          <w:sz w:val="24"/>
          <w:szCs w:val="24"/>
        </w:rPr>
        <w:t>m</w:t>
      </w:r>
      <w:r w:rsidR="00CA1930">
        <w:rPr>
          <w:rFonts w:ascii="Times New Roman" w:hAnsi="Times New Roman" w:cs="Times New Roman"/>
          <w:sz w:val="24"/>
          <w:szCs w:val="24"/>
        </w:rPr>
        <w:t xml:space="preserve"> konkreten Normenstreit erblickt, wie er anlässlich der Beerdigung des Polyneikes gegeben ist, sondern als Ambivalenz auffasst, die </w:t>
      </w:r>
      <w:r w:rsidR="00CA1930">
        <w:rPr>
          <w:rFonts w:ascii="Times New Roman" w:hAnsi="Times New Roman" w:cs="Times New Roman"/>
          <w:iCs/>
          <w:sz w:val="24"/>
          <w:szCs w:val="24"/>
        </w:rPr>
        <w:t>kategorisch</w:t>
      </w:r>
      <w:r w:rsidR="00CA1930">
        <w:rPr>
          <w:rFonts w:ascii="Times New Roman" w:hAnsi="Times New Roman" w:cs="Times New Roman"/>
          <w:sz w:val="24"/>
          <w:szCs w:val="24"/>
        </w:rPr>
        <w:t xml:space="preserve"> </w:t>
      </w:r>
      <w:r w:rsidR="00CA1930" w:rsidRPr="00CA1930">
        <w:rPr>
          <w:rFonts w:ascii="Times New Roman" w:hAnsi="Times New Roman" w:cs="Times New Roman"/>
          <w:i/>
          <w:iCs/>
          <w:sz w:val="24"/>
          <w:szCs w:val="24"/>
        </w:rPr>
        <w:t>jeder</w:t>
      </w:r>
      <w:r w:rsidR="00CA1930">
        <w:rPr>
          <w:rFonts w:ascii="Times New Roman" w:hAnsi="Times New Roman" w:cs="Times New Roman"/>
          <w:sz w:val="24"/>
          <w:szCs w:val="24"/>
        </w:rPr>
        <w:t xml:space="preserve"> sittlichen Handlung zukommt, insofern sie sittlich ist, da ihm zufolge sittliches Handeln ausschließlich im Kontext und in Bezugnahme auf das Gemeinwesen vorkommt.</w:t>
      </w:r>
      <w:r w:rsidR="00FE5B15">
        <w:rPr>
          <w:rFonts w:ascii="Times New Roman" w:hAnsi="Times New Roman" w:cs="Times New Roman"/>
          <w:sz w:val="24"/>
          <w:szCs w:val="24"/>
        </w:rPr>
        <w:t xml:space="preserve"> </w:t>
      </w:r>
    </w:p>
    <w:p w14:paraId="7C3D2FE4" w14:textId="5708E99A" w:rsidR="000E63E6" w:rsidRDefault="00FE5B15" w:rsidP="009A6FCE">
      <w:pPr>
        <w:spacing w:line="360" w:lineRule="auto"/>
        <w:rPr>
          <w:rFonts w:ascii="Times New Roman" w:hAnsi="Times New Roman" w:cs="Times New Roman"/>
          <w:sz w:val="24"/>
          <w:szCs w:val="24"/>
        </w:rPr>
      </w:pPr>
      <w:r>
        <w:rPr>
          <w:rFonts w:ascii="Times New Roman" w:hAnsi="Times New Roman" w:cs="Times New Roman"/>
          <w:sz w:val="24"/>
          <w:szCs w:val="24"/>
        </w:rPr>
        <w:t xml:space="preserve">Die Institutionen, die Hegel den jeweiligen ethischen Gesetzen </w:t>
      </w:r>
      <w:r w:rsidR="00C6527A">
        <w:rPr>
          <w:rFonts w:ascii="Times New Roman" w:hAnsi="Times New Roman" w:cs="Times New Roman"/>
          <w:sz w:val="24"/>
          <w:szCs w:val="24"/>
        </w:rPr>
        <w:t>zuordn</w:t>
      </w:r>
      <w:r>
        <w:rPr>
          <w:rFonts w:ascii="Times New Roman" w:hAnsi="Times New Roman" w:cs="Times New Roman"/>
          <w:sz w:val="24"/>
          <w:szCs w:val="24"/>
        </w:rPr>
        <w:t xml:space="preserve">et, sind </w:t>
      </w:r>
      <w:proofErr w:type="gramStart"/>
      <w:r>
        <w:rPr>
          <w:rFonts w:ascii="Times New Roman" w:hAnsi="Times New Roman" w:cs="Times New Roman"/>
          <w:sz w:val="24"/>
          <w:szCs w:val="24"/>
        </w:rPr>
        <w:t>zum Einen</w:t>
      </w:r>
      <w:proofErr w:type="gramEnd"/>
      <w:r>
        <w:rPr>
          <w:rFonts w:ascii="Times New Roman" w:hAnsi="Times New Roman" w:cs="Times New Roman"/>
          <w:sz w:val="24"/>
          <w:szCs w:val="24"/>
        </w:rPr>
        <w:t xml:space="preserve"> die Staatsmacht, die Kreon verkörpert, zum Anderen die Familie, die durch Antigone repräsentiert wird.</w:t>
      </w:r>
      <w:r w:rsidR="002C4788">
        <w:rPr>
          <w:rFonts w:ascii="Times New Roman" w:hAnsi="Times New Roman" w:cs="Times New Roman"/>
          <w:sz w:val="24"/>
          <w:szCs w:val="24"/>
        </w:rPr>
        <w:t xml:space="preserve"> Zweck der Familie ist nach Hegel negativ auf das Allgemeine</w:t>
      </w:r>
      <w:r w:rsidR="007C4C53">
        <w:rPr>
          <w:rFonts w:ascii="Times New Roman" w:hAnsi="Times New Roman" w:cs="Times New Roman"/>
          <w:sz w:val="24"/>
          <w:szCs w:val="24"/>
        </w:rPr>
        <w:t>, also das Gemeinwesen verkörpert durch den Staat,</w:t>
      </w:r>
      <w:r w:rsidR="002C4788">
        <w:rPr>
          <w:rFonts w:ascii="Times New Roman" w:hAnsi="Times New Roman" w:cs="Times New Roman"/>
          <w:sz w:val="24"/>
          <w:szCs w:val="24"/>
        </w:rPr>
        <w:t xml:space="preserve"> gerichtet, positiv aber auf den Einzelnen, weil sie ihn „aus ihr heraus[..]setzen, seine Natürlichkeit und Einzelheit […] unterjochen und ihn zur Tugend, zum Leben in und fürs Allgemeine […] ziehen [soll]“.</w:t>
      </w:r>
      <w:r w:rsidR="002C4788">
        <w:rPr>
          <w:rStyle w:val="Funotenzeichen"/>
          <w:rFonts w:ascii="Times New Roman" w:hAnsi="Times New Roman" w:cs="Times New Roman"/>
          <w:sz w:val="24"/>
          <w:szCs w:val="24"/>
        </w:rPr>
        <w:footnoteReference w:id="22"/>
      </w:r>
      <w:r w:rsidR="007C4C53">
        <w:rPr>
          <w:rFonts w:ascii="Times New Roman" w:hAnsi="Times New Roman" w:cs="Times New Roman"/>
          <w:sz w:val="24"/>
          <w:szCs w:val="24"/>
        </w:rPr>
        <w:t xml:space="preserve"> </w:t>
      </w:r>
      <w:r w:rsidR="00CE5C60">
        <w:rPr>
          <w:rFonts w:ascii="Times New Roman" w:hAnsi="Times New Roman" w:cs="Times New Roman"/>
          <w:sz w:val="24"/>
          <w:szCs w:val="24"/>
        </w:rPr>
        <w:t>Sittlicher Zweck der Familie ist es also, ihre Mitglieder für den Staat zu erziehen,</w:t>
      </w:r>
      <w:r w:rsidR="007E1FCA">
        <w:rPr>
          <w:rFonts w:ascii="Times New Roman" w:hAnsi="Times New Roman" w:cs="Times New Roman"/>
          <w:sz w:val="24"/>
          <w:szCs w:val="24"/>
        </w:rPr>
        <w:t xml:space="preserve"> indem sie aber ihr Handeln auf das einzelne Individuum richtet.</w:t>
      </w:r>
      <w:r w:rsidR="00234AFA">
        <w:rPr>
          <w:rFonts w:ascii="Times New Roman" w:hAnsi="Times New Roman" w:cs="Times New Roman"/>
          <w:sz w:val="24"/>
          <w:szCs w:val="24"/>
        </w:rPr>
        <w:t xml:space="preserve"> Die sittliche Handlung fasst Hegel dabei im Sinne des kategorischen Imperativs, d h. einer Handlung, die nicht von anderen Zwecken außerhalb der </w:t>
      </w:r>
      <w:r w:rsidR="00234AFA">
        <w:rPr>
          <w:rFonts w:ascii="Times New Roman" w:hAnsi="Times New Roman" w:cs="Times New Roman"/>
          <w:sz w:val="24"/>
          <w:szCs w:val="24"/>
        </w:rPr>
        <w:lastRenderedPageBreak/>
        <w:t xml:space="preserve">moralischen Sphäre definiert worden ist. </w:t>
      </w:r>
      <w:r w:rsidR="00E71AFC">
        <w:rPr>
          <w:rFonts w:ascii="Times New Roman" w:hAnsi="Times New Roman" w:cs="Times New Roman"/>
          <w:sz w:val="24"/>
          <w:szCs w:val="24"/>
        </w:rPr>
        <w:t>Als wahrhaft sittliche</w:t>
      </w:r>
      <w:r w:rsidR="003C276A">
        <w:rPr>
          <w:rFonts w:ascii="Times New Roman" w:hAnsi="Times New Roman" w:cs="Times New Roman"/>
          <w:sz w:val="24"/>
          <w:szCs w:val="24"/>
        </w:rPr>
        <w:t>s</w:t>
      </w:r>
      <w:r w:rsidR="00E71AFC">
        <w:rPr>
          <w:rFonts w:ascii="Times New Roman" w:hAnsi="Times New Roman" w:cs="Times New Roman"/>
          <w:sz w:val="24"/>
          <w:szCs w:val="24"/>
        </w:rPr>
        <w:t xml:space="preserve"> Handeln in diesem Sinne fasst Hegel daher auch nur eine solche, „welche die ganze Existenz des Blutsverwandten </w:t>
      </w:r>
      <w:proofErr w:type="spellStart"/>
      <w:r w:rsidR="00E71AFC">
        <w:rPr>
          <w:rFonts w:ascii="Times New Roman" w:hAnsi="Times New Roman" w:cs="Times New Roman"/>
          <w:sz w:val="24"/>
          <w:szCs w:val="24"/>
        </w:rPr>
        <w:t>umfaßt</w:t>
      </w:r>
      <w:proofErr w:type="spellEnd"/>
      <w:r w:rsidR="00E71AFC">
        <w:rPr>
          <w:rFonts w:ascii="Times New Roman" w:hAnsi="Times New Roman" w:cs="Times New Roman"/>
          <w:sz w:val="24"/>
          <w:szCs w:val="24"/>
        </w:rPr>
        <w:t>“</w:t>
      </w:r>
      <w:r w:rsidR="00185450">
        <w:rPr>
          <w:rFonts w:ascii="Times New Roman" w:hAnsi="Times New Roman" w:cs="Times New Roman"/>
          <w:sz w:val="24"/>
          <w:szCs w:val="24"/>
        </w:rPr>
        <w:t>.</w:t>
      </w:r>
      <w:r w:rsidR="00E71AFC">
        <w:rPr>
          <w:rStyle w:val="Funotenzeichen"/>
          <w:rFonts w:ascii="Times New Roman" w:hAnsi="Times New Roman" w:cs="Times New Roman"/>
          <w:sz w:val="24"/>
          <w:szCs w:val="24"/>
        </w:rPr>
        <w:footnoteReference w:id="23"/>
      </w:r>
      <w:r w:rsidR="00185450">
        <w:rPr>
          <w:rFonts w:ascii="Times New Roman" w:hAnsi="Times New Roman" w:cs="Times New Roman"/>
          <w:sz w:val="24"/>
          <w:szCs w:val="24"/>
        </w:rPr>
        <w:t xml:space="preserve"> Ein Handeln in diesem Sinne kann nach Hegel daher auch „nicht mehr den Lebenden, sondern [nur] den Toten“</w:t>
      </w:r>
      <w:r w:rsidR="00185450">
        <w:rPr>
          <w:rStyle w:val="Funotenzeichen"/>
          <w:rFonts w:ascii="Times New Roman" w:hAnsi="Times New Roman" w:cs="Times New Roman"/>
          <w:sz w:val="24"/>
          <w:szCs w:val="24"/>
        </w:rPr>
        <w:footnoteReference w:id="24"/>
      </w:r>
      <w:r w:rsidR="00185450">
        <w:rPr>
          <w:rFonts w:ascii="Times New Roman" w:hAnsi="Times New Roman" w:cs="Times New Roman"/>
          <w:sz w:val="24"/>
          <w:szCs w:val="24"/>
        </w:rPr>
        <w:t xml:space="preserve"> betreffen</w:t>
      </w:r>
      <w:r w:rsidR="001D76A0">
        <w:rPr>
          <w:rFonts w:ascii="Times New Roman" w:hAnsi="Times New Roman" w:cs="Times New Roman"/>
          <w:sz w:val="24"/>
          <w:szCs w:val="24"/>
        </w:rPr>
        <w:t>:</w:t>
      </w:r>
    </w:p>
    <w:p w14:paraId="460D16AF" w14:textId="77777777" w:rsidR="000E63E6" w:rsidRDefault="001D76A0" w:rsidP="009A6FC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E63E6">
        <w:rPr>
          <w:rFonts w:ascii="Times New Roman" w:hAnsi="Times New Roman" w:cs="Times New Roman"/>
          <w:sz w:val="20"/>
          <w:szCs w:val="20"/>
        </w:rPr>
        <w:t xml:space="preserve">„Diese Allgemeinheit, zu der der Einzelne als solcher gelangt, ist das reine Sein, der Tod; es ist das unmittelbare natürliche </w:t>
      </w:r>
      <w:proofErr w:type="spellStart"/>
      <w:r w:rsidRPr="000E63E6">
        <w:rPr>
          <w:rFonts w:ascii="Times New Roman" w:hAnsi="Times New Roman" w:cs="Times New Roman"/>
          <w:sz w:val="20"/>
          <w:szCs w:val="20"/>
        </w:rPr>
        <w:t>Gewordensein</w:t>
      </w:r>
      <w:proofErr w:type="spellEnd"/>
      <w:r w:rsidRPr="000E63E6">
        <w:rPr>
          <w:rFonts w:ascii="Times New Roman" w:hAnsi="Times New Roman" w:cs="Times New Roman"/>
          <w:sz w:val="20"/>
          <w:szCs w:val="20"/>
        </w:rPr>
        <w:t xml:space="preserve">, nicht das Tun eines </w:t>
      </w:r>
      <w:proofErr w:type="spellStart"/>
      <w:r w:rsidRPr="000E63E6">
        <w:rPr>
          <w:rFonts w:ascii="Times New Roman" w:hAnsi="Times New Roman" w:cs="Times New Roman"/>
          <w:sz w:val="20"/>
          <w:szCs w:val="20"/>
        </w:rPr>
        <w:t>Bewußtseins</w:t>
      </w:r>
      <w:proofErr w:type="spellEnd"/>
      <w:r w:rsidRPr="000E63E6">
        <w:rPr>
          <w:rFonts w:ascii="Times New Roman" w:hAnsi="Times New Roman" w:cs="Times New Roman"/>
          <w:sz w:val="20"/>
          <w:szCs w:val="20"/>
        </w:rPr>
        <w:t>.</w:t>
      </w:r>
      <w:r w:rsidR="000E63E6" w:rsidRPr="000E63E6">
        <w:rPr>
          <w:rFonts w:ascii="Times New Roman" w:hAnsi="Times New Roman" w:cs="Times New Roman"/>
          <w:sz w:val="20"/>
          <w:szCs w:val="20"/>
        </w:rPr>
        <w:t xml:space="preserve"> Die Pflicht des Familiengliedes ist deswegen, diese Seite hinzuzufügen, damit auch sein letztes Sein, dies allgemeine Sein, nicht allein der Natur angehöre und etwas Unvernünftiges bleibe, sondern </w:t>
      </w:r>
      <w:proofErr w:type="spellStart"/>
      <w:r w:rsidR="000E63E6" w:rsidRPr="000E63E6">
        <w:rPr>
          <w:rFonts w:ascii="Times New Roman" w:hAnsi="Times New Roman" w:cs="Times New Roman"/>
          <w:sz w:val="20"/>
          <w:szCs w:val="20"/>
        </w:rPr>
        <w:t>daß</w:t>
      </w:r>
      <w:proofErr w:type="spellEnd"/>
      <w:r w:rsidR="000E63E6" w:rsidRPr="000E63E6">
        <w:rPr>
          <w:rFonts w:ascii="Times New Roman" w:hAnsi="Times New Roman" w:cs="Times New Roman"/>
          <w:sz w:val="20"/>
          <w:szCs w:val="20"/>
        </w:rPr>
        <w:t xml:space="preserve"> es ein Getanes und das Recht des </w:t>
      </w:r>
      <w:proofErr w:type="spellStart"/>
      <w:r w:rsidR="000E63E6" w:rsidRPr="000E63E6">
        <w:rPr>
          <w:rFonts w:ascii="Times New Roman" w:hAnsi="Times New Roman" w:cs="Times New Roman"/>
          <w:sz w:val="20"/>
          <w:szCs w:val="20"/>
        </w:rPr>
        <w:t>Bewußtseins</w:t>
      </w:r>
      <w:proofErr w:type="spellEnd"/>
      <w:r w:rsidR="000E63E6" w:rsidRPr="000E63E6">
        <w:rPr>
          <w:rFonts w:ascii="Times New Roman" w:hAnsi="Times New Roman" w:cs="Times New Roman"/>
          <w:sz w:val="20"/>
          <w:szCs w:val="20"/>
        </w:rPr>
        <w:t xml:space="preserve"> in ihm behauptet sei.</w:t>
      </w:r>
      <w:r w:rsidRPr="000E63E6">
        <w:rPr>
          <w:rFonts w:ascii="Times New Roman" w:hAnsi="Times New Roman" w:cs="Times New Roman"/>
          <w:sz w:val="20"/>
          <w:szCs w:val="20"/>
        </w:rPr>
        <w:t>“</w:t>
      </w:r>
      <w:r w:rsidRPr="000E63E6">
        <w:rPr>
          <w:rStyle w:val="Funotenzeichen"/>
          <w:rFonts w:ascii="Times New Roman" w:hAnsi="Times New Roman" w:cs="Times New Roman"/>
          <w:sz w:val="20"/>
          <w:szCs w:val="20"/>
        </w:rPr>
        <w:footnoteReference w:id="25"/>
      </w:r>
      <w:r>
        <w:rPr>
          <w:rFonts w:ascii="Times New Roman" w:hAnsi="Times New Roman" w:cs="Times New Roman"/>
          <w:sz w:val="24"/>
          <w:szCs w:val="24"/>
        </w:rPr>
        <w:t xml:space="preserve"> </w:t>
      </w:r>
    </w:p>
    <w:p w14:paraId="2C00BDE5" w14:textId="0877F7CB" w:rsidR="00C932CE" w:rsidRPr="00C932CE" w:rsidRDefault="00E86E07" w:rsidP="009A6FCE">
      <w:pPr>
        <w:spacing w:line="360" w:lineRule="auto"/>
        <w:rPr>
          <w:rFonts w:ascii="Times New Roman" w:hAnsi="Times New Roman" w:cs="Times New Roman"/>
          <w:sz w:val="24"/>
          <w:szCs w:val="24"/>
        </w:rPr>
      </w:pPr>
      <w:r>
        <w:rPr>
          <w:rFonts w:ascii="Times New Roman" w:hAnsi="Times New Roman" w:cs="Times New Roman"/>
          <w:sz w:val="24"/>
          <w:szCs w:val="24"/>
        </w:rPr>
        <w:t xml:space="preserve">Im Sinne des göttlichen Gesetzes ist daher </w:t>
      </w:r>
      <w:proofErr w:type="spellStart"/>
      <w:r>
        <w:rPr>
          <w:rFonts w:ascii="Times New Roman" w:hAnsi="Times New Roman" w:cs="Times New Roman"/>
          <w:sz w:val="24"/>
          <w:szCs w:val="24"/>
        </w:rPr>
        <w:t>Antigones</w:t>
      </w:r>
      <w:proofErr w:type="spellEnd"/>
      <w:r>
        <w:rPr>
          <w:rFonts w:ascii="Times New Roman" w:hAnsi="Times New Roman" w:cs="Times New Roman"/>
          <w:sz w:val="24"/>
          <w:szCs w:val="24"/>
        </w:rPr>
        <w:t xml:space="preserve"> Handeln als vollendete sittliche Tat in der Interpretation Hegels zu betrachten.</w:t>
      </w:r>
      <w:r w:rsidR="00C932CE">
        <w:rPr>
          <w:rFonts w:ascii="Times New Roman" w:hAnsi="Times New Roman" w:cs="Times New Roman"/>
          <w:sz w:val="24"/>
          <w:szCs w:val="24"/>
        </w:rPr>
        <w:t xml:space="preserve"> Die Bestattung des Polyneikes lässt sich folglich als Schutzhandlung des verstorbenen Mitglieds gegenüber banaler Naturprozesse verstehen, die dem Verstorbenen im Andenken seinen Status als personales Mitglied einer Gemeinschaft bewahrt.</w:t>
      </w:r>
      <w:r w:rsidR="0019515B">
        <w:rPr>
          <w:rFonts w:ascii="Times New Roman" w:hAnsi="Times New Roman" w:cs="Times New Roman"/>
          <w:sz w:val="24"/>
          <w:szCs w:val="24"/>
        </w:rPr>
        <w:t xml:space="preserve"> Die Tat der Antigone ist nach Hegel jedoch auch als Schutzhandlung gegenüber einer sich ungehemmt entladenden Allgemeinheit zu verstehen</w:t>
      </w:r>
      <w:r w:rsidR="001D76A0">
        <w:rPr>
          <w:rFonts w:ascii="Times New Roman" w:hAnsi="Times New Roman" w:cs="Times New Roman"/>
          <w:sz w:val="24"/>
          <w:szCs w:val="24"/>
        </w:rPr>
        <w:t>:</w:t>
      </w:r>
      <w:r w:rsidR="00235EC4">
        <w:rPr>
          <w:rFonts w:ascii="Times New Roman" w:hAnsi="Times New Roman" w:cs="Times New Roman"/>
          <w:sz w:val="24"/>
          <w:szCs w:val="24"/>
        </w:rPr>
        <w:t xml:space="preserve"> </w:t>
      </w:r>
      <w:r w:rsidR="00235EC4" w:rsidRPr="00C932CE">
        <w:rPr>
          <w:rFonts w:ascii="Times New Roman" w:hAnsi="Times New Roman" w:cs="Times New Roman"/>
          <w:sz w:val="24"/>
          <w:szCs w:val="24"/>
        </w:rPr>
        <w:t xml:space="preserve">„Der Tote“, so heißt es bei Hegel weiter, </w:t>
      </w:r>
    </w:p>
    <w:p w14:paraId="15B732F9" w14:textId="710A1CD3" w:rsidR="00FE5B15" w:rsidRDefault="00235EC4" w:rsidP="009A6FCE">
      <w:pPr>
        <w:spacing w:line="360" w:lineRule="auto"/>
        <w:rPr>
          <w:rFonts w:ascii="Times New Roman" w:hAnsi="Times New Roman" w:cs="Times New Roman"/>
          <w:sz w:val="20"/>
          <w:szCs w:val="20"/>
        </w:rPr>
      </w:pPr>
      <w:r w:rsidRPr="00235EC4">
        <w:rPr>
          <w:rFonts w:ascii="Times New Roman" w:hAnsi="Times New Roman" w:cs="Times New Roman"/>
          <w:sz w:val="20"/>
          <w:szCs w:val="20"/>
        </w:rPr>
        <w:t xml:space="preserve">„da er sein </w:t>
      </w:r>
      <w:proofErr w:type="spellStart"/>
      <w:r w:rsidRPr="00235EC4">
        <w:rPr>
          <w:rFonts w:ascii="Times New Roman" w:hAnsi="Times New Roman" w:cs="Times New Roman"/>
          <w:sz w:val="20"/>
          <w:szCs w:val="20"/>
        </w:rPr>
        <w:t>Sein</w:t>
      </w:r>
      <w:proofErr w:type="spellEnd"/>
      <w:r w:rsidRPr="00235EC4">
        <w:rPr>
          <w:rFonts w:ascii="Times New Roman" w:hAnsi="Times New Roman" w:cs="Times New Roman"/>
          <w:sz w:val="20"/>
          <w:szCs w:val="20"/>
        </w:rPr>
        <w:t xml:space="preserve"> von seinem Tun oder negativen Eins freigelassen, ist die leere Einzelheit, nur ein passives Sein für Anderes, aller niedrigen vernunftlosen </w:t>
      </w:r>
      <w:proofErr w:type="spellStart"/>
      <w:r w:rsidRPr="00235EC4">
        <w:rPr>
          <w:rFonts w:ascii="Times New Roman" w:hAnsi="Times New Roman" w:cs="Times New Roman"/>
          <w:sz w:val="20"/>
          <w:szCs w:val="20"/>
        </w:rPr>
        <w:t>Individualitität</w:t>
      </w:r>
      <w:proofErr w:type="spellEnd"/>
      <w:r w:rsidRPr="00235EC4">
        <w:rPr>
          <w:rFonts w:ascii="Times New Roman" w:hAnsi="Times New Roman" w:cs="Times New Roman"/>
          <w:sz w:val="20"/>
          <w:szCs w:val="20"/>
        </w:rPr>
        <w:t xml:space="preserve"> und den Kräften abstrakter Stoffe preisgegeben (…).“</w:t>
      </w:r>
      <w:r>
        <w:rPr>
          <w:rStyle w:val="Funotenzeichen"/>
          <w:rFonts w:ascii="Times New Roman" w:hAnsi="Times New Roman" w:cs="Times New Roman"/>
          <w:sz w:val="20"/>
          <w:szCs w:val="20"/>
        </w:rPr>
        <w:footnoteReference w:id="26"/>
      </w:r>
    </w:p>
    <w:p w14:paraId="1CEF1298" w14:textId="10B9F48B" w:rsidR="00784690" w:rsidRDefault="007F08A5" w:rsidP="009A6FC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Antigones</w:t>
      </w:r>
      <w:proofErr w:type="spellEnd"/>
      <w:r>
        <w:rPr>
          <w:rFonts w:ascii="Times New Roman" w:hAnsi="Times New Roman" w:cs="Times New Roman"/>
          <w:sz w:val="24"/>
          <w:szCs w:val="24"/>
        </w:rPr>
        <w:t xml:space="preserve"> Handeln ist daher </w:t>
      </w:r>
      <w:r w:rsidR="00BF1ACF">
        <w:rPr>
          <w:rFonts w:ascii="Times New Roman" w:hAnsi="Times New Roman" w:cs="Times New Roman"/>
          <w:sz w:val="24"/>
          <w:szCs w:val="24"/>
        </w:rPr>
        <w:t>eine</w:t>
      </w:r>
      <w:r>
        <w:rPr>
          <w:rFonts w:ascii="Times New Roman" w:hAnsi="Times New Roman" w:cs="Times New Roman"/>
          <w:sz w:val="24"/>
          <w:szCs w:val="24"/>
        </w:rPr>
        <w:t xml:space="preserve"> Schutzhandlung</w:t>
      </w:r>
      <w:r w:rsidR="00BF1ACF">
        <w:rPr>
          <w:rFonts w:ascii="Times New Roman" w:hAnsi="Times New Roman" w:cs="Times New Roman"/>
          <w:sz w:val="24"/>
          <w:szCs w:val="24"/>
        </w:rPr>
        <w:t xml:space="preserve"> im doppelten Sinne</w:t>
      </w:r>
      <w:r>
        <w:rPr>
          <w:rFonts w:ascii="Times New Roman" w:hAnsi="Times New Roman" w:cs="Times New Roman"/>
          <w:sz w:val="24"/>
          <w:szCs w:val="24"/>
        </w:rPr>
        <w:t xml:space="preserve">: </w:t>
      </w:r>
      <w:proofErr w:type="gramStart"/>
      <w:r w:rsidR="003C276A">
        <w:rPr>
          <w:rFonts w:ascii="Times New Roman" w:hAnsi="Times New Roman" w:cs="Times New Roman"/>
          <w:sz w:val="24"/>
          <w:szCs w:val="24"/>
        </w:rPr>
        <w:t>Z</w:t>
      </w:r>
      <w:r w:rsidR="00C21352">
        <w:rPr>
          <w:rFonts w:ascii="Times New Roman" w:hAnsi="Times New Roman" w:cs="Times New Roman"/>
          <w:sz w:val="24"/>
          <w:szCs w:val="24"/>
        </w:rPr>
        <w:t>um Einen</w:t>
      </w:r>
      <w:proofErr w:type="gramEnd"/>
      <w:r w:rsidR="00C21352">
        <w:rPr>
          <w:rFonts w:ascii="Times New Roman" w:hAnsi="Times New Roman" w:cs="Times New Roman"/>
          <w:sz w:val="24"/>
          <w:szCs w:val="24"/>
        </w:rPr>
        <w:t xml:space="preserve"> bewahrt sie den Toten vor den ungehemmten Naturkräften, zum anderen vor der Vertilgung durch die nun blind wütenden Kräfte der Allgemeinheit.</w:t>
      </w:r>
      <w:r w:rsidR="00BF1ACF">
        <w:rPr>
          <w:rFonts w:ascii="Times New Roman" w:hAnsi="Times New Roman" w:cs="Times New Roman"/>
          <w:sz w:val="24"/>
          <w:szCs w:val="24"/>
        </w:rPr>
        <w:t xml:space="preserve"> </w:t>
      </w:r>
    </w:p>
    <w:p w14:paraId="4E64F5A3" w14:textId="5CFA5707" w:rsidR="0004067D" w:rsidRPr="0004067D" w:rsidRDefault="00784690" w:rsidP="009A6FCE">
      <w:pPr>
        <w:spacing w:line="360" w:lineRule="auto"/>
        <w:rPr>
          <w:rFonts w:ascii="Times New Roman" w:hAnsi="Times New Roman" w:cs="Times New Roman"/>
          <w:sz w:val="24"/>
          <w:szCs w:val="24"/>
        </w:rPr>
      </w:pPr>
      <w:r>
        <w:rPr>
          <w:rFonts w:ascii="Times New Roman" w:hAnsi="Times New Roman" w:cs="Times New Roman"/>
          <w:sz w:val="24"/>
          <w:szCs w:val="24"/>
        </w:rPr>
        <w:t xml:space="preserve">Die Sphären, die </w:t>
      </w:r>
      <w:proofErr w:type="spellStart"/>
      <w:r w:rsidR="002B2D1B">
        <w:rPr>
          <w:rFonts w:ascii="Times New Roman" w:hAnsi="Times New Roman" w:cs="Times New Roman"/>
          <w:sz w:val="24"/>
          <w:szCs w:val="24"/>
        </w:rPr>
        <w:t>Poyneikes</w:t>
      </w:r>
      <w:proofErr w:type="spellEnd"/>
      <w:r>
        <w:rPr>
          <w:rFonts w:ascii="Times New Roman" w:hAnsi="Times New Roman" w:cs="Times New Roman"/>
          <w:sz w:val="24"/>
          <w:szCs w:val="24"/>
        </w:rPr>
        <w:t xml:space="preserve"> und Antigone gegeneinander verkörpern, werden bei Hegel des Weiteren im Sinne eines Geschlechterverhältnisses begriffen</w:t>
      </w:r>
      <w:r w:rsidR="00CB2DE3">
        <w:rPr>
          <w:rFonts w:ascii="Times New Roman" w:hAnsi="Times New Roman" w:cs="Times New Roman"/>
          <w:sz w:val="24"/>
          <w:szCs w:val="24"/>
        </w:rPr>
        <w:t xml:space="preserve">, wobei sich nach Hegel beide Geschwister nicht begehren, „noch haben sie das </w:t>
      </w:r>
      <w:proofErr w:type="spellStart"/>
      <w:r w:rsidR="00CB2DE3">
        <w:rPr>
          <w:rFonts w:ascii="Times New Roman" w:hAnsi="Times New Roman" w:cs="Times New Roman"/>
          <w:sz w:val="24"/>
          <w:szCs w:val="24"/>
        </w:rPr>
        <w:t>Fürsichsein</w:t>
      </w:r>
      <w:proofErr w:type="spellEnd"/>
      <w:r w:rsidR="00CB2DE3">
        <w:rPr>
          <w:rFonts w:ascii="Times New Roman" w:hAnsi="Times New Roman" w:cs="Times New Roman"/>
          <w:sz w:val="24"/>
          <w:szCs w:val="24"/>
        </w:rPr>
        <w:t xml:space="preserve"> eines dem anderen gegeben noch empfangen, sondern sie sind freie Individualität gegeneinander“.</w:t>
      </w:r>
      <w:r w:rsidR="00CB2DE3">
        <w:rPr>
          <w:rStyle w:val="Funotenzeichen"/>
          <w:rFonts w:ascii="Times New Roman" w:hAnsi="Times New Roman" w:cs="Times New Roman"/>
          <w:sz w:val="24"/>
          <w:szCs w:val="24"/>
        </w:rPr>
        <w:footnoteReference w:id="27"/>
      </w:r>
      <w:r w:rsidR="003F40CF">
        <w:rPr>
          <w:rFonts w:ascii="Times New Roman" w:hAnsi="Times New Roman" w:cs="Times New Roman"/>
          <w:sz w:val="24"/>
          <w:szCs w:val="24"/>
        </w:rPr>
        <w:t xml:space="preserve"> </w:t>
      </w:r>
      <w:r w:rsidR="002B0993">
        <w:rPr>
          <w:rFonts w:ascii="Times New Roman" w:hAnsi="Times New Roman" w:cs="Times New Roman"/>
          <w:sz w:val="24"/>
          <w:szCs w:val="24"/>
        </w:rPr>
        <w:t>Hegel fasst das Verhältnis der Schwester gegenüber dem Bruder daher als „höchste Pflicht“ auf.</w:t>
      </w:r>
      <w:r w:rsidR="003F2899">
        <w:rPr>
          <w:rStyle w:val="Funotenzeichen"/>
          <w:rFonts w:ascii="Times New Roman" w:hAnsi="Times New Roman" w:cs="Times New Roman"/>
          <w:sz w:val="24"/>
          <w:szCs w:val="24"/>
        </w:rPr>
        <w:footnoteReference w:id="28"/>
      </w:r>
      <w:r w:rsidR="00430423">
        <w:rPr>
          <w:rFonts w:ascii="Times New Roman" w:hAnsi="Times New Roman" w:cs="Times New Roman"/>
          <w:sz w:val="24"/>
          <w:szCs w:val="24"/>
        </w:rPr>
        <w:t xml:space="preserve"> Da der Bruder bei Hegel als unmittelbarer Übergänger der Grenze des göttlichen zum menschlichen Gesetz, das durch die Familie verkörpert wird, definiert wird, die Schwester als „Bewahrerin </w:t>
      </w:r>
      <w:r w:rsidR="00430423">
        <w:rPr>
          <w:rFonts w:ascii="Times New Roman" w:hAnsi="Times New Roman" w:cs="Times New Roman"/>
          <w:sz w:val="24"/>
          <w:szCs w:val="24"/>
        </w:rPr>
        <w:lastRenderedPageBreak/>
        <w:t>des gött</w:t>
      </w:r>
      <w:r w:rsidR="008253F1">
        <w:rPr>
          <w:rFonts w:ascii="Times New Roman" w:hAnsi="Times New Roman" w:cs="Times New Roman"/>
          <w:sz w:val="24"/>
          <w:szCs w:val="24"/>
        </w:rPr>
        <w:t>lichen Gesetzes“</w:t>
      </w:r>
      <w:r w:rsidR="008253F1">
        <w:rPr>
          <w:rStyle w:val="Funotenzeichen"/>
          <w:rFonts w:ascii="Times New Roman" w:hAnsi="Times New Roman" w:cs="Times New Roman"/>
          <w:sz w:val="24"/>
          <w:szCs w:val="24"/>
        </w:rPr>
        <w:footnoteReference w:id="29"/>
      </w:r>
      <w:r w:rsidR="007B1A6B">
        <w:rPr>
          <w:rFonts w:ascii="Times New Roman" w:hAnsi="Times New Roman" w:cs="Times New Roman"/>
          <w:sz w:val="24"/>
          <w:szCs w:val="24"/>
        </w:rPr>
        <w:t xml:space="preserve"> wird die „Pflicht“ der Schwester gegenüber ihrem Bruder, wie Hegel meint, als Handlung im Sinne der Allgemeinheit begriffen. </w:t>
      </w:r>
      <w:r w:rsidR="00C15F80">
        <w:rPr>
          <w:rFonts w:ascii="Times New Roman" w:hAnsi="Times New Roman" w:cs="Times New Roman"/>
          <w:sz w:val="24"/>
          <w:szCs w:val="24"/>
        </w:rPr>
        <w:t xml:space="preserve">Wenn man sich vergegenwärtigt, wie oben Hegels Bestimmung sittlichen Handelns analysiert wurde, als Handeln mit Bezug und im Kontext der Gemeinschaft, so ist </w:t>
      </w:r>
      <w:proofErr w:type="spellStart"/>
      <w:r w:rsidR="00C15F80">
        <w:rPr>
          <w:rFonts w:ascii="Times New Roman" w:hAnsi="Times New Roman" w:cs="Times New Roman"/>
          <w:sz w:val="24"/>
          <w:szCs w:val="24"/>
        </w:rPr>
        <w:t>Antigones</w:t>
      </w:r>
      <w:proofErr w:type="spellEnd"/>
      <w:r w:rsidR="00C15F80">
        <w:rPr>
          <w:rFonts w:ascii="Times New Roman" w:hAnsi="Times New Roman" w:cs="Times New Roman"/>
          <w:sz w:val="24"/>
          <w:szCs w:val="24"/>
        </w:rPr>
        <w:t xml:space="preserve"> Handeln gegenüber Polyneikes auch im Sinne eines von Hegel angenommenen geschwisterlichen Pflichtverhältnisses als genuin sittliches zu begreifen.</w:t>
      </w:r>
      <w:r w:rsidR="00F06409">
        <w:rPr>
          <w:rFonts w:ascii="Times New Roman" w:hAnsi="Times New Roman" w:cs="Times New Roman"/>
          <w:sz w:val="24"/>
          <w:szCs w:val="24"/>
        </w:rPr>
        <w:br/>
      </w:r>
      <w:r w:rsidR="00F06409">
        <w:rPr>
          <w:rFonts w:ascii="Times New Roman" w:hAnsi="Times New Roman" w:cs="Times New Roman"/>
          <w:sz w:val="24"/>
          <w:szCs w:val="24"/>
        </w:rPr>
        <w:br/>
        <w:t xml:space="preserve">Die Diskussion im Seminar sollte sich zunächst auf </w:t>
      </w:r>
      <w:r w:rsidR="005C2EAD">
        <w:rPr>
          <w:rFonts w:ascii="Times New Roman" w:hAnsi="Times New Roman" w:cs="Times New Roman"/>
          <w:sz w:val="24"/>
          <w:szCs w:val="24"/>
        </w:rPr>
        <w:t>im Allgemeinen auf</w:t>
      </w:r>
      <w:r w:rsidR="00F06409">
        <w:rPr>
          <w:rFonts w:ascii="Times New Roman" w:hAnsi="Times New Roman" w:cs="Times New Roman"/>
          <w:sz w:val="24"/>
          <w:szCs w:val="24"/>
        </w:rPr>
        <w:t xml:space="preserve"> Hegels Theorie zum sittliche</w:t>
      </w:r>
      <w:r w:rsidR="003809F3">
        <w:rPr>
          <w:rFonts w:ascii="Times New Roman" w:hAnsi="Times New Roman" w:cs="Times New Roman"/>
          <w:sz w:val="24"/>
          <w:szCs w:val="24"/>
        </w:rPr>
        <w:t>n</w:t>
      </w:r>
      <w:r w:rsidR="00F06409">
        <w:rPr>
          <w:rFonts w:ascii="Times New Roman" w:hAnsi="Times New Roman" w:cs="Times New Roman"/>
          <w:sz w:val="24"/>
          <w:szCs w:val="24"/>
        </w:rPr>
        <w:t xml:space="preserve"> Handeln konzentrieren. Hierbei wäre festzuhalten, worin die moralische Ambivalenz bei </w:t>
      </w:r>
      <w:proofErr w:type="spellStart"/>
      <w:r w:rsidR="00F06409">
        <w:rPr>
          <w:rFonts w:ascii="Times New Roman" w:hAnsi="Times New Roman" w:cs="Times New Roman"/>
          <w:sz w:val="24"/>
          <w:szCs w:val="24"/>
        </w:rPr>
        <w:t>Antigones</w:t>
      </w:r>
      <w:proofErr w:type="spellEnd"/>
      <w:r w:rsidR="00F06409">
        <w:rPr>
          <w:rFonts w:ascii="Times New Roman" w:hAnsi="Times New Roman" w:cs="Times New Roman"/>
          <w:sz w:val="24"/>
          <w:szCs w:val="24"/>
        </w:rPr>
        <w:t xml:space="preserve"> Tat und Handlungen in ethischer Hinsicht </w:t>
      </w:r>
      <w:r w:rsidR="0040551F">
        <w:rPr>
          <w:rFonts w:ascii="Times New Roman" w:hAnsi="Times New Roman" w:cs="Times New Roman"/>
          <w:sz w:val="24"/>
          <w:szCs w:val="24"/>
        </w:rPr>
        <w:t>generell</w:t>
      </w:r>
      <w:r w:rsidR="00F06409">
        <w:rPr>
          <w:rFonts w:ascii="Times New Roman" w:hAnsi="Times New Roman" w:cs="Times New Roman"/>
          <w:sz w:val="24"/>
          <w:szCs w:val="24"/>
        </w:rPr>
        <w:t xml:space="preserve"> nach Hegel zu suchen sind.</w:t>
      </w:r>
      <w:r w:rsidR="007D392D">
        <w:rPr>
          <w:rFonts w:ascii="Times New Roman" w:hAnsi="Times New Roman" w:cs="Times New Roman"/>
          <w:sz w:val="24"/>
          <w:szCs w:val="24"/>
        </w:rPr>
        <w:t xml:space="preserve"> Im zweiten Teil sollten dann die bei Hegel herausgearbeiteten konkreten sittlichen Dimensionen von </w:t>
      </w:r>
      <w:proofErr w:type="spellStart"/>
      <w:r w:rsidR="007D392D">
        <w:rPr>
          <w:rFonts w:ascii="Times New Roman" w:hAnsi="Times New Roman" w:cs="Times New Roman"/>
          <w:sz w:val="24"/>
          <w:szCs w:val="24"/>
        </w:rPr>
        <w:t>Antigones</w:t>
      </w:r>
      <w:proofErr w:type="spellEnd"/>
      <w:r w:rsidR="007D392D">
        <w:rPr>
          <w:rFonts w:ascii="Times New Roman" w:hAnsi="Times New Roman" w:cs="Times New Roman"/>
          <w:sz w:val="24"/>
          <w:szCs w:val="24"/>
        </w:rPr>
        <w:t xml:space="preserve"> Tat analysiert werden</w:t>
      </w:r>
      <w:r w:rsidR="00751F74">
        <w:rPr>
          <w:rFonts w:ascii="Times New Roman" w:hAnsi="Times New Roman" w:cs="Times New Roman"/>
          <w:sz w:val="24"/>
          <w:szCs w:val="24"/>
        </w:rPr>
        <w:t>:</w:t>
      </w:r>
      <w:r w:rsidR="007D392D">
        <w:rPr>
          <w:rFonts w:ascii="Times New Roman" w:hAnsi="Times New Roman" w:cs="Times New Roman"/>
          <w:sz w:val="24"/>
          <w:szCs w:val="24"/>
        </w:rPr>
        <w:t xml:space="preserve"> diese sind zum einen </w:t>
      </w:r>
      <w:r w:rsidR="0018533B">
        <w:rPr>
          <w:rFonts w:ascii="Times New Roman" w:hAnsi="Times New Roman" w:cs="Times New Roman"/>
          <w:sz w:val="24"/>
          <w:szCs w:val="24"/>
        </w:rPr>
        <w:t>ihr Handeln als Vertreterin der Familie gegenüber ihrem Mitglied sowie ihre von Hegel angenommene Pflicht als Schwester gegenüber ihrem Bruder</w:t>
      </w:r>
      <w:r w:rsidR="009408F3">
        <w:rPr>
          <w:rFonts w:ascii="Times New Roman" w:hAnsi="Times New Roman" w:cs="Times New Roman"/>
          <w:sz w:val="24"/>
          <w:szCs w:val="24"/>
        </w:rPr>
        <w:t>.</w:t>
      </w:r>
    </w:p>
    <w:sectPr w:rsidR="0004067D" w:rsidRPr="000406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88931" w14:textId="77777777" w:rsidR="006C1119" w:rsidRDefault="006C1119" w:rsidP="0058155E">
      <w:pPr>
        <w:spacing w:after="0" w:line="240" w:lineRule="auto"/>
      </w:pPr>
      <w:r>
        <w:separator/>
      </w:r>
    </w:p>
  </w:endnote>
  <w:endnote w:type="continuationSeparator" w:id="0">
    <w:p w14:paraId="68498108" w14:textId="77777777" w:rsidR="006C1119" w:rsidRDefault="006C1119" w:rsidP="00581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C1425" w14:textId="77777777" w:rsidR="006C1119" w:rsidRDefault="006C1119" w:rsidP="0058155E">
      <w:pPr>
        <w:spacing w:after="0" w:line="240" w:lineRule="auto"/>
      </w:pPr>
      <w:r>
        <w:separator/>
      </w:r>
    </w:p>
  </w:footnote>
  <w:footnote w:type="continuationSeparator" w:id="0">
    <w:p w14:paraId="25B88159" w14:textId="77777777" w:rsidR="006C1119" w:rsidRDefault="006C1119" w:rsidP="0058155E">
      <w:pPr>
        <w:spacing w:after="0" w:line="240" w:lineRule="auto"/>
      </w:pPr>
      <w:r>
        <w:continuationSeparator/>
      </w:r>
    </w:p>
  </w:footnote>
  <w:footnote w:id="1">
    <w:p w14:paraId="7EFFFB48" w14:textId="4F09C24D" w:rsidR="00CD23B7" w:rsidRDefault="00CD23B7">
      <w:pPr>
        <w:pStyle w:val="Funotentext"/>
      </w:pPr>
      <w:r>
        <w:rPr>
          <w:rStyle w:val="Funotenzeichen"/>
        </w:rPr>
        <w:footnoteRef/>
      </w:r>
      <w:r>
        <w:t xml:space="preserve"> G. W. F. Hegel, Werke 3. Phänomenologie des Geistes (</w:t>
      </w:r>
      <w:proofErr w:type="spellStart"/>
      <w:r>
        <w:t>suhrkamp</w:t>
      </w:r>
      <w:proofErr w:type="spellEnd"/>
      <w:r>
        <w:t xml:space="preserve"> </w:t>
      </w:r>
      <w:proofErr w:type="spellStart"/>
      <w:r>
        <w:t>taschenbuch</w:t>
      </w:r>
      <w:proofErr w:type="spellEnd"/>
      <w:r>
        <w:t xml:space="preserve"> </w:t>
      </w:r>
      <w:proofErr w:type="spellStart"/>
      <w:r>
        <w:t>wissenschaft</w:t>
      </w:r>
      <w:proofErr w:type="spellEnd"/>
      <w:r>
        <w:t xml:space="preserve"> 603), Frankfurt am Main 2017, 4. Aufl., </w:t>
      </w:r>
      <w:r w:rsidR="001F3337">
        <w:t>neue Ed.</w:t>
      </w:r>
      <w:r w:rsidR="007D2E08">
        <w:t xml:space="preserve"> d. </w:t>
      </w:r>
      <w:proofErr w:type="spellStart"/>
      <w:r w:rsidR="007D2E08">
        <w:t>Ausg</w:t>
      </w:r>
      <w:proofErr w:type="spellEnd"/>
      <w:r w:rsidR="007D2E08">
        <w:t>.</w:t>
      </w:r>
      <w:r>
        <w:t xml:space="preserve"> d</w:t>
      </w:r>
      <w:r w:rsidR="007D2E08">
        <w:t>.</w:t>
      </w:r>
      <w:r>
        <w:t xml:space="preserve"> Werke v. 1832-1845</w:t>
      </w:r>
      <w:r w:rsidR="00136C3A">
        <w:t>, urspr. 1807</w:t>
      </w:r>
      <w:r w:rsidR="008B32F6">
        <w:t>, S. 31</w:t>
      </w:r>
      <w:r w:rsidR="001C0047">
        <w:t>.</w:t>
      </w:r>
    </w:p>
  </w:footnote>
  <w:footnote w:id="2">
    <w:p w14:paraId="4B5530B7" w14:textId="777A3F62" w:rsidR="005234BB" w:rsidRDefault="005234BB">
      <w:pPr>
        <w:pStyle w:val="Funotentext"/>
      </w:pPr>
      <w:r>
        <w:rPr>
          <w:rStyle w:val="Funotenzeichen"/>
        </w:rPr>
        <w:footnoteRef/>
      </w:r>
      <w:r>
        <w:t xml:space="preserve"> Ebd.,</w:t>
      </w:r>
      <w:r w:rsidR="00E83C4C">
        <w:t xml:space="preserve"> S.</w:t>
      </w:r>
      <w:r>
        <w:t xml:space="preserve"> 29.</w:t>
      </w:r>
    </w:p>
  </w:footnote>
  <w:footnote w:id="3">
    <w:p w14:paraId="4100B4EB" w14:textId="2CBCA667" w:rsidR="00CD0523" w:rsidRDefault="00CD0523">
      <w:pPr>
        <w:pStyle w:val="Funotentext"/>
      </w:pPr>
      <w:r>
        <w:rPr>
          <w:rStyle w:val="Funotenzeichen"/>
        </w:rPr>
        <w:footnoteRef/>
      </w:r>
      <w:r>
        <w:t xml:space="preserve"> Ebd., S. 82.</w:t>
      </w:r>
    </w:p>
  </w:footnote>
  <w:footnote w:id="4">
    <w:p w14:paraId="1C3B4923" w14:textId="1AB89FE1" w:rsidR="00372880" w:rsidRDefault="00372880">
      <w:pPr>
        <w:pStyle w:val="Funotentext"/>
      </w:pPr>
      <w:r>
        <w:rPr>
          <w:rStyle w:val="Funotenzeichen"/>
        </w:rPr>
        <w:footnoteRef/>
      </w:r>
      <w:r>
        <w:t xml:space="preserve"> Ebd.</w:t>
      </w:r>
    </w:p>
  </w:footnote>
  <w:footnote w:id="5">
    <w:p w14:paraId="17D19E42" w14:textId="348FC746" w:rsidR="00A8334A" w:rsidRDefault="00A8334A">
      <w:pPr>
        <w:pStyle w:val="Funotentext"/>
      </w:pPr>
      <w:r>
        <w:rPr>
          <w:rStyle w:val="Funotenzeichen"/>
        </w:rPr>
        <w:footnoteRef/>
      </w:r>
      <w:r>
        <w:t xml:space="preserve"> </w:t>
      </w:r>
      <w:r w:rsidR="00556022">
        <w:t>Ebd., S. 137.</w:t>
      </w:r>
    </w:p>
  </w:footnote>
  <w:footnote w:id="6">
    <w:p w14:paraId="38FCAD75" w14:textId="59B7F1E3" w:rsidR="009913DC" w:rsidRDefault="009913DC">
      <w:pPr>
        <w:pStyle w:val="Funotentext"/>
      </w:pPr>
      <w:r>
        <w:rPr>
          <w:rStyle w:val="Funotenzeichen"/>
        </w:rPr>
        <w:footnoteRef/>
      </w:r>
      <w:r>
        <w:t xml:space="preserve"> Ebd.</w:t>
      </w:r>
    </w:p>
  </w:footnote>
  <w:footnote w:id="7">
    <w:p w14:paraId="5F8C66C2" w14:textId="1EF1A3B6" w:rsidR="001C7B08" w:rsidRDefault="001C7B08">
      <w:pPr>
        <w:pStyle w:val="Funotentext"/>
      </w:pPr>
      <w:r>
        <w:rPr>
          <w:rStyle w:val="Funotenzeichen"/>
        </w:rPr>
        <w:footnoteRef/>
      </w:r>
      <w:r>
        <w:t xml:space="preserve"> Ebd., S. 136.</w:t>
      </w:r>
    </w:p>
  </w:footnote>
  <w:footnote w:id="8">
    <w:p w14:paraId="2EC38004" w14:textId="3299BBB4" w:rsidR="00550DF5" w:rsidRDefault="00550DF5">
      <w:pPr>
        <w:pStyle w:val="Funotentext"/>
      </w:pPr>
      <w:r>
        <w:rPr>
          <w:rStyle w:val="Funotenzeichen"/>
        </w:rPr>
        <w:footnoteRef/>
      </w:r>
      <w:r>
        <w:t xml:space="preserve"> Ebd., S. 143.</w:t>
      </w:r>
    </w:p>
  </w:footnote>
  <w:footnote w:id="9">
    <w:p w14:paraId="26121A38" w14:textId="3BA924DF" w:rsidR="008D7F0F" w:rsidRDefault="008D7F0F">
      <w:pPr>
        <w:pStyle w:val="Funotentext"/>
      </w:pPr>
      <w:r>
        <w:rPr>
          <w:rStyle w:val="Funotenzeichen"/>
        </w:rPr>
        <w:footnoteRef/>
      </w:r>
      <w:r>
        <w:t xml:space="preserve"> Ebd.</w:t>
      </w:r>
      <w:r w:rsidR="00FF4D21">
        <w:t>,</w:t>
      </w:r>
      <w:r>
        <w:t xml:space="preserve"> </w:t>
      </w:r>
      <w:r w:rsidR="00B915AB">
        <w:t>S. 179.</w:t>
      </w:r>
    </w:p>
  </w:footnote>
  <w:footnote w:id="10">
    <w:p w14:paraId="0DDB6FEE" w14:textId="68C3D401" w:rsidR="007C5590" w:rsidRDefault="007C5590">
      <w:pPr>
        <w:pStyle w:val="Funotentext"/>
      </w:pPr>
      <w:r>
        <w:rPr>
          <w:rStyle w:val="Funotenzeichen"/>
        </w:rPr>
        <w:footnoteRef/>
      </w:r>
      <w:r>
        <w:t xml:space="preserve"> Ebd.</w:t>
      </w:r>
      <w:r w:rsidR="00FF4D21">
        <w:t>,</w:t>
      </w:r>
      <w:r>
        <w:t xml:space="preserve"> S. 178-179.</w:t>
      </w:r>
    </w:p>
  </w:footnote>
  <w:footnote w:id="11">
    <w:p w14:paraId="6F6072AC" w14:textId="2F4798F6" w:rsidR="009A6FCE" w:rsidRDefault="009A6FCE">
      <w:pPr>
        <w:pStyle w:val="Funotentext"/>
      </w:pPr>
      <w:r>
        <w:rPr>
          <w:rStyle w:val="Funotenzeichen"/>
        </w:rPr>
        <w:footnoteRef/>
      </w:r>
      <w:r>
        <w:t xml:space="preserve"> </w:t>
      </w:r>
      <w:r w:rsidR="00FF4D21">
        <w:t>Ebd.</w:t>
      </w:r>
      <w:r>
        <w:t>, S. 179.</w:t>
      </w:r>
    </w:p>
  </w:footnote>
  <w:footnote w:id="12">
    <w:p w14:paraId="07D16FBC" w14:textId="309D5EB5" w:rsidR="009D5F5C" w:rsidRDefault="009D5F5C">
      <w:pPr>
        <w:pStyle w:val="Funotentext"/>
      </w:pPr>
      <w:r>
        <w:rPr>
          <w:rStyle w:val="Funotenzeichen"/>
        </w:rPr>
        <w:footnoteRef/>
      </w:r>
      <w:r>
        <w:t xml:space="preserve"> </w:t>
      </w:r>
      <w:r w:rsidR="002E0B72">
        <w:t>Hegel (2017),</w:t>
      </w:r>
      <w:r>
        <w:t xml:space="preserve"> S. 178.</w:t>
      </w:r>
    </w:p>
  </w:footnote>
  <w:footnote w:id="13">
    <w:p w14:paraId="1458BA96" w14:textId="28301FF0" w:rsidR="001F6960" w:rsidRDefault="001F6960">
      <w:pPr>
        <w:pStyle w:val="Funotentext"/>
      </w:pPr>
      <w:r>
        <w:rPr>
          <w:rStyle w:val="Funotenzeichen"/>
        </w:rPr>
        <w:footnoteRef/>
      </w:r>
      <w:r>
        <w:t xml:space="preserve"> Ebd., S. 185.</w:t>
      </w:r>
    </w:p>
  </w:footnote>
  <w:footnote w:id="14">
    <w:p w14:paraId="74D302E9" w14:textId="31978A93" w:rsidR="007E35FC" w:rsidRDefault="007E35FC">
      <w:pPr>
        <w:pStyle w:val="Funotentext"/>
      </w:pPr>
      <w:r>
        <w:rPr>
          <w:rStyle w:val="Funotenzeichen"/>
        </w:rPr>
        <w:footnoteRef/>
      </w:r>
      <w:r>
        <w:t xml:space="preserve"> Ebd., S. 184.</w:t>
      </w:r>
    </w:p>
  </w:footnote>
  <w:footnote w:id="15">
    <w:p w14:paraId="038F1BEB" w14:textId="502FFE92" w:rsidR="00E77798" w:rsidRDefault="00E77798">
      <w:pPr>
        <w:pStyle w:val="Funotentext"/>
      </w:pPr>
      <w:r>
        <w:rPr>
          <w:rStyle w:val="Funotenzeichen"/>
        </w:rPr>
        <w:footnoteRef/>
      </w:r>
      <w:r>
        <w:t xml:space="preserve"> Ebd., S. 145.</w:t>
      </w:r>
    </w:p>
  </w:footnote>
  <w:footnote w:id="16">
    <w:p w14:paraId="28F01E29" w14:textId="53FCAC08" w:rsidR="005E4D25" w:rsidRDefault="005E4D25">
      <w:pPr>
        <w:pStyle w:val="Funotentext"/>
      </w:pPr>
      <w:r>
        <w:rPr>
          <w:rStyle w:val="Funotenzeichen"/>
        </w:rPr>
        <w:footnoteRef/>
      </w:r>
      <w:r>
        <w:t xml:space="preserve"> Ebd., S. 324.</w:t>
      </w:r>
    </w:p>
  </w:footnote>
  <w:footnote w:id="17">
    <w:p w14:paraId="7305DD3F" w14:textId="7AB3C57A" w:rsidR="00C85977" w:rsidRDefault="00C85977">
      <w:pPr>
        <w:pStyle w:val="Funotentext"/>
      </w:pPr>
      <w:r>
        <w:rPr>
          <w:rStyle w:val="Funotenzeichen"/>
        </w:rPr>
        <w:footnoteRef/>
      </w:r>
      <w:r>
        <w:t xml:space="preserve"> Ebd., S. 326</w:t>
      </w:r>
      <w:r w:rsidR="00A7373E">
        <w:t>.</w:t>
      </w:r>
    </w:p>
  </w:footnote>
  <w:footnote w:id="18">
    <w:p w14:paraId="4C9A3F7F" w14:textId="7EA4155F" w:rsidR="00C63E82" w:rsidRDefault="00C63E82">
      <w:pPr>
        <w:pStyle w:val="Funotentext"/>
      </w:pPr>
      <w:r>
        <w:rPr>
          <w:rStyle w:val="Funotenzeichen"/>
        </w:rPr>
        <w:footnoteRef/>
      </w:r>
      <w:r>
        <w:t xml:space="preserve"> Vgl. Anm. 15.</w:t>
      </w:r>
    </w:p>
  </w:footnote>
  <w:footnote w:id="19">
    <w:p w14:paraId="492FCD87" w14:textId="54E1A3BC" w:rsidR="003773D6" w:rsidRDefault="003773D6">
      <w:pPr>
        <w:pStyle w:val="Funotentext"/>
      </w:pPr>
      <w:r>
        <w:rPr>
          <w:rStyle w:val="Funotenzeichen"/>
        </w:rPr>
        <w:footnoteRef/>
      </w:r>
      <w:r>
        <w:t xml:space="preserve"> Hegel (2017), S. 325.</w:t>
      </w:r>
    </w:p>
  </w:footnote>
  <w:footnote w:id="20">
    <w:p w14:paraId="031B15E7" w14:textId="27F38C51" w:rsidR="00C0655B" w:rsidRDefault="00C0655B">
      <w:pPr>
        <w:pStyle w:val="Funotentext"/>
      </w:pPr>
      <w:r>
        <w:rPr>
          <w:rStyle w:val="Funotenzeichen"/>
        </w:rPr>
        <w:footnoteRef/>
      </w:r>
      <w:r>
        <w:t xml:space="preserve"> Ebd., S. 328.</w:t>
      </w:r>
    </w:p>
  </w:footnote>
  <w:footnote w:id="21">
    <w:p w14:paraId="031B9FAC" w14:textId="670DDC74" w:rsidR="00FA3ABD" w:rsidRDefault="00FA3ABD">
      <w:pPr>
        <w:pStyle w:val="Funotentext"/>
      </w:pPr>
      <w:r>
        <w:rPr>
          <w:rStyle w:val="Funotenzeichen"/>
        </w:rPr>
        <w:footnoteRef/>
      </w:r>
      <w:r>
        <w:t xml:space="preserve"> </w:t>
      </w:r>
      <w:r w:rsidR="00313DD8">
        <w:t xml:space="preserve">Hegel (2017), </w:t>
      </w:r>
      <w:proofErr w:type="gramStart"/>
      <w:r w:rsidR="00313DD8">
        <w:t>ebd.</w:t>
      </w:r>
      <w:r>
        <w:t>.</w:t>
      </w:r>
      <w:proofErr w:type="gramEnd"/>
    </w:p>
  </w:footnote>
  <w:footnote w:id="22">
    <w:p w14:paraId="72F5FB26" w14:textId="1B2E28ED" w:rsidR="002C4788" w:rsidRDefault="002C4788">
      <w:pPr>
        <w:pStyle w:val="Funotentext"/>
      </w:pPr>
      <w:r>
        <w:rPr>
          <w:rStyle w:val="Funotenzeichen"/>
        </w:rPr>
        <w:footnoteRef/>
      </w:r>
      <w:r>
        <w:t xml:space="preserve"> Ebd., S. 331.</w:t>
      </w:r>
    </w:p>
  </w:footnote>
  <w:footnote w:id="23">
    <w:p w14:paraId="103A0D1E" w14:textId="02A1AD66" w:rsidR="00E71AFC" w:rsidRDefault="00E71AFC">
      <w:pPr>
        <w:pStyle w:val="Funotentext"/>
      </w:pPr>
      <w:r>
        <w:rPr>
          <w:rStyle w:val="Funotenzeichen"/>
        </w:rPr>
        <w:footnoteRef/>
      </w:r>
      <w:r>
        <w:t xml:space="preserve"> </w:t>
      </w:r>
      <w:r w:rsidR="00A147CE">
        <w:t>Hegel (2017)</w:t>
      </w:r>
      <w:r>
        <w:t>., S. 332.</w:t>
      </w:r>
    </w:p>
  </w:footnote>
  <w:footnote w:id="24">
    <w:p w14:paraId="053CE896" w14:textId="2AB725E0" w:rsidR="00185450" w:rsidRDefault="00185450">
      <w:pPr>
        <w:pStyle w:val="Funotentext"/>
      </w:pPr>
      <w:r>
        <w:rPr>
          <w:rStyle w:val="Funotenzeichen"/>
        </w:rPr>
        <w:footnoteRef/>
      </w:r>
      <w:r>
        <w:t xml:space="preserve"> Ebd.</w:t>
      </w:r>
    </w:p>
  </w:footnote>
  <w:footnote w:id="25">
    <w:p w14:paraId="6DFC39DC" w14:textId="312C3850" w:rsidR="001D76A0" w:rsidRDefault="001D76A0">
      <w:pPr>
        <w:pStyle w:val="Funotentext"/>
      </w:pPr>
      <w:r>
        <w:rPr>
          <w:rStyle w:val="Funotenzeichen"/>
        </w:rPr>
        <w:footnoteRef/>
      </w:r>
      <w:r>
        <w:t xml:space="preserve"> Ebd.</w:t>
      </w:r>
    </w:p>
  </w:footnote>
  <w:footnote w:id="26">
    <w:p w14:paraId="692A6E70" w14:textId="1B3EC45A" w:rsidR="00235EC4" w:rsidRDefault="00235EC4">
      <w:pPr>
        <w:pStyle w:val="Funotentext"/>
      </w:pPr>
      <w:r>
        <w:rPr>
          <w:rStyle w:val="Funotenzeichen"/>
        </w:rPr>
        <w:footnoteRef/>
      </w:r>
      <w:r>
        <w:t xml:space="preserve"> Ebd., S. 333</w:t>
      </w:r>
      <w:r w:rsidR="0004067D">
        <w:t>.</w:t>
      </w:r>
    </w:p>
  </w:footnote>
  <w:footnote w:id="27">
    <w:p w14:paraId="1E6E1CDE" w14:textId="06609E00" w:rsidR="00CB2DE3" w:rsidRDefault="00CB2DE3">
      <w:pPr>
        <w:pStyle w:val="Funotentext"/>
      </w:pPr>
      <w:r>
        <w:rPr>
          <w:rStyle w:val="Funotenzeichen"/>
        </w:rPr>
        <w:footnoteRef/>
      </w:r>
      <w:r>
        <w:t xml:space="preserve"> Ebd.</w:t>
      </w:r>
    </w:p>
  </w:footnote>
  <w:footnote w:id="28">
    <w:p w14:paraId="6799407C" w14:textId="72228468" w:rsidR="003F2899" w:rsidRDefault="003F2899">
      <w:pPr>
        <w:pStyle w:val="Funotentext"/>
      </w:pPr>
      <w:r>
        <w:rPr>
          <w:rStyle w:val="Funotenzeichen"/>
        </w:rPr>
        <w:footnoteRef/>
      </w:r>
      <w:r>
        <w:t xml:space="preserve"> S. ebd., S. 338.</w:t>
      </w:r>
    </w:p>
  </w:footnote>
  <w:footnote w:id="29">
    <w:p w14:paraId="5731F744" w14:textId="65D690EA" w:rsidR="008253F1" w:rsidRDefault="008253F1">
      <w:pPr>
        <w:pStyle w:val="Funotentext"/>
      </w:pPr>
      <w:r>
        <w:rPr>
          <w:rStyle w:val="Funotenzeichen"/>
        </w:rPr>
        <w:footnoteRef/>
      </w:r>
      <w:r>
        <w:t xml:space="preserve"> </w:t>
      </w:r>
      <w:r w:rsidR="00CE35DC">
        <w:t>Hegel (2017)</w:t>
      </w:r>
      <w:r>
        <w:t>, S. 338.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4D"/>
    <w:rsid w:val="00012718"/>
    <w:rsid w:val="0004067D"/>
    <w:rsid w:val="00076DBA"/>
    <w:rsid w:val="000E63E6"/>
    <w:rsid w:val="00136C3A"/>
    <w:rsid w:val="0018533B"/>
    <w:rsid w:val="00185450"/>
    <w:rsid w:val="0019515B"/>
    <w:rsid w:val="00197179"/>
    <w:rsid w:val="001A206D"/>
    <w:rsid w:val="001A74F8"/>
    <w:rsid w:val="001C0047"/>
    <w:rsid w:val="001C1F0E"/>
    <w:rsid w:val="001C2E40"/>
    <w:rsid w:val="001C7B08"/>
    <w:rsid w:val="001D76A0"/>
    <w:rsid w:val="001F3337"/>
    <w:rsid w:val="001F58E4"/>
    <w:rsid w:val="001F6960"/>
    <w:rsid w:val="00234AFA"/>
    <w:rsid w:val="00235EC4"/>
    <w:rsid w:val="002427B0"/>
    <w:rsid w:val="00254D91"/>
    <w:rsid w:val="00257A1D"/>
    <w:rsid w:val="0026242D"/>
    <w:rsid w:val="002654BE"/>
    <w:rsid w:val="002B0993"/>
    <w:rsid w:val="002B2D1B"/>
    <w:rsid w:val="002C4788"/>
    <w:rsid w:val="002E0B72"/>
    <w:rsid w:val="00313DD8"/>
    <w:rsid w:val="00315F73"/>
    <w:rsid w:val="00317B51"/>
    <w:rsid w:val="00335AC7"/>
    <w:rsid w:val="00341A7B"/>
    <w:rsid w:val="00372880"/>
    <w:rsid w:val="003773D6"/>
    <w:rsid w:val="003809F3"/>
    <w:rsid w:val="003C276A"/>
    <w:rsid w:val="003D66D7"/>
    <w:rsid w:val="003F2899"/>
    <w:rsid w:val="003F40CF"/>
    <w:rsid w:val="0040551F"/>
    <w:rsid w:val="00417418"/>
    <w:rsid w:val="00430423"/>
    <w:rsid w:val="004F147D"/>
    <w:rsid w:val="004F6758"/>
    <w:rsid w:val="005234BB"/>
    <w:rsid w:val="00550DF5"/>
    <w:rsid w:val="00556022"/>
    <w:rsid w:val="0058155E"/>
    <w:rsid w:val="005B4DB5"/>
    <w:rsid w:val="005C2EAD"/>
    <w:rsid w:val="005D69D6"/>
    <w:rsid w:val="005E4D25"/>
    <w:rsid w:val="006C1119"/>
    <w:rsid w:val="006D39AE"/>
    <w:rsid w:val="006D3D19"/>
    <w:rsid w:val="006D77EF"/>
    <w:rsid w:val="00703CAD"/>
    <w:rsid w:val="00734CA8"/>
    <w:rsid w:val="00743286"/>
    <w:rsid w:val="0075074B"/>
    <w:rsid w:val="00751F74"/>
    <w:rsid w:val="00784690"/>
    <w:rsid w:val="007A5538"/>
    <w:rsid w:val="007B1A6B"/>
    <w:rsid w:val="007C2F95"/>
    <w:rsid w:val="007C4C53"/>
    <w:rsid w:val="007C5590"/>
    <w:rsid w:val="007D2E08"/>
    <w:rsid w:val="007D392D"/>
    <w:rsid w:val="007E1FCA"/>
    <w:rsid w:val="007E35FC"/>
    <w:rsid w:val="007F08A5"/>
    <w:rsid w:val="008253F1"/>
    <w:rsid w:val="0086428F"/>
    <w:rsid w:val="008A3F4D"/>
    <w:rsid w:val="008B32F6"/>
    <w:rsid w:val="008D7F0F"/>
    <w:rsid w:val="009264B7"/>
    <w:rsid w:val="0093716C"/>
    <w:rsid w:val="009408F3"/>
    <w:rsid w:val="00952D86"/>
    <w:rsid w:val="009913DC"/>
    <w:rsid w:val="009A6DE0"/>
    <w:rsid w:val="009A6FCE"/>
    <w:rsid w:val="009D5F5C"/>
    <w:rsid w:val="00A13DF1"/>
    <w:rsid w:val="00A147CE"/>
    <w:rsid w:val="00A43095"/>
    <w:rsid w:val="00A5182A"/>
    <w:rsid w:val="00A533DD"/>
    <w:rsid w:val="00A601E0"/>
    <w:rsid w:val="00A6428E"/>
    <w:rsid w:val="00A7373E"/>
    <w:rsid w:val="00A8334A"/>
    <w:rsid w:val="00A93410"/>
    <w:rsid w:val="00AC1F57"/>
    <w:rsid w:val="00B13636"/>
    <w:rsid w:val="00B57AE1"/>
    <w:rsid w:val="00B63801"/>
    <w:rsid w:val="00B67EA0"/>
    <w:rsid w:val="00B915AB"/>
    <w:rsid w:val="00BC2409"/>
    <w:rsid w:val="00BF1ACF"/>
    <w:rsid w:val="00C0655B"/>
    <w:rsid w:val="00C15F71"/>
    <w:rsid w:val="00C15F80"/>
    <w:rsid w:val="00C21352"/>
    <w:rsid w:val="00C537A4"/>
    <w:rsid w:val="00C63E82"/>
    <w:rsid w:val="00C6527A"/>
    <w:rsid w:val="00C85977"/>
    <w:rsid w:val="00C932CE"/>
    <w:rsid w:val="00C97EB6"/>
    <w:rsid w:val="00CA1930"/>
    <w:rsid w:val="00CB2DE3"/>
    <w:rsid w:val="00CD0523"/>
    <w:rsid w:val="00CD23B7"/>
    <w:rsid w:val="00CD7381"/>
    <w:rsid w:val="00CE02FA"/>
    <w:rsid w:val="00CE35DC"/>
    <w:rsid w:val="00CE5C60"/>
    <w:rsid w:val="00CE5E6D"/>
    <w:rsid w:val="00CF5BDD"/>
    <w:rsid w:val="00D0192E"/>
    <w:rsid w:val="00D14C8A"/>
    <w:rsid w:val="00D36D10"/>
    <w:rsid w:val="00D57EA3"/>
    <w:rsid w:val="00DF6230"/>
    <w:rsid w:val="00E30463"/>
    <w:rsid w:val="00E51064"/>
    <w:rsid w:val="00E65949"/>
    <w:rsid w:val="00E71AFC"/>
    <w:rsid w:val="00E77798"/>
    <w:rsid w:val="00E83C4C"/>
    <w:rsid w:val="00E86E07"/>
    <w:rsid w:val="00F06409"/>
    <w:rsid w:val="00F3317D"/>
    <w:rsid w:val="00FA13E5"/>
    <w:rsid w:val="00FA3ABD"/>
    <w:rsid w:val="00FD594E"/>
    <w:rsid w:val="00FE5B15"/>
    <w:rsid w:val="00FF4D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7182"/>
  <w15:chartTrackingRefBased/>
  <w15:docId w15:val="{97E2B0C2-7397-44B7-961C-D757D305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58155E"/>
    <w:rPr>
      <w:sz w:val="16"/>
      <w:szCs w:val="16"/>
    </w:rPr>
  </w:style>
  <w:style w:type="paragraph" w:styleId="Kommentartext">
    <w:name w:val="annotation text"/>
    <w:basedOn w:val="Standard"/>
    <w:link w:val="KommentartextZchn"/>
    <w:uiPriority w:val="99"/>
    <w:semiHidden/>
    <w:unhideWhenUsed/>
    <w:rsid w:val="0058155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155E"/>
    <w:rPr>
      <w:sz w:val="20"/>
      <w:szCs w:val="20"/>
    </w:rPr>
  </w:style>
  <w:style w:type="paragraph" w:styleId="Kommentarthema">
    <w:name w:val="annotation subject"/>
    <w:basedOn w:val="Kommentartext"/>
    <w:next w:val="Kommentartext"/>
    <w:link w:val="KommentarthemaZchn"/>
    <w:uiPriority w:val="99"/>
    <w:semiHidden/>
    <w:unhideWhenUsed/>
    <w:rsid w:val="0058155E"/>
    <w:rPr>
      <w:b/>
      <w:bCs/>
    </w:rPr>
  </w:style>
  <w:style w:type="character" w:customStyle="1" w:styleId="KommentarthemaZchn">
    <w:name w:val="Kommentarthema Zchn"/>
    <w:basedOn w:val="KommentartextZchn"/>
    <w:link w:val="Kommentarthema"/>
    <w:uiPriority w:val="99"/>
    <w:semiHidden/>
    <w:rsid w:val="0058155E"/>
    <w:rPr>
      <w:b/>
      <w:bCs/>
      <w:sz w:val="20"/>
      <w:szCs w:val="20"/>
    </w:rPr>
  </w:style>
  <w:style w:type="paragraph" w:styleId="Funotentext">
    <w:name w:val="footnote text"/>
    <w:basedOn w:val="Standard"/>
    <w:link w:val="FunotentextZchn"/>
    <w:uiPriority w:val="99"/>
    <w:semiHidden/>
    <w:unhideWhenUsed/>
    <w:rsid w:val="0058155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155E"/>
    <w:rPr>
      <w:sz w:val="20"/>
      <w:szCs w:val="20"/>
    </w:rPr>
  </w:style>
  <w:style w:type="character" w:styleId="Funotenzeichen">
    <w:name w:val="footnote reference"/>
    <w:basedOn w:val="Absatz-Standardschriftart"/>
    <w:uiPriority w:val="99"/>
    <w:semiHidden/>
    <w:unhideWhenUsed/>
    <w:rsid w:val="005815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C5656-926C-4B1F-8D9E-441B4815F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1486</Words>
  <Characters>9365</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Schurk</dc:creator>
  <cp:keywords/>
  <dc:description/>
  <cp:lastModifiedBy>Philipp Schurk</cp:lastModifiedBy>
  <cp:revision>8</cp:revision>
  <dcterms:created xsi:type="dcterms:W3CDTF">2021-05-03T10:01:00Z</dcterms:created>
  <dcterms:modified xsi:type="dcterms:W3CDTF">2021-05-03T10:09:00Z</dcterms:modified>
</cp:coreProperties>
</file>