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5A6B" w:rsidRDefault="005A5A6B" w:rsidP="005A5A6B">
      <w:pPr>
        <w:spacing w:line="240" w:lineRule="auto"/>
      </w:pPr>
      <w:proofErr w:type="spellStart"/>
      <w:r>
        <w:t>WiSe</w:t>
      </w:r>
      <w:proofErr w:type="spellEnd"/>
      <w:r>
        <w:t xml:space="preserve"> 2023/24</w:t>
      </w:r>
    </w:p>
    <w:p w:rsidR="005A5A6B" w:rsidRDefault="005A5A6B" w:rsidP="005A5A6B">
      <w:pPr>
        <w:spacing w:line="240" w:lineRule="auto"/>
      </w:pPr>
      <w:r>
        <w:t>Freie Universität Berlin | Institut für Philosophie</w:t>
      </w:r>
    </w:p>
    <w:p w:rsidR="005A5A6B" w:rsidRDefault="005A5A6B" w:rsidP="005A5A6B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Dozentin</w:t>
      </w:r>
      <w:proofErr w:type="spellEnd"/>
      <w:r>
        <w:rPr>
          <w:lang w:val="en-US"/>
        </w:rPr>
        <w:t xml:space="preserve">: Prof. </w:t>
      </w:r>
      <w:proofErr w:type="spellStart"/>
      <w:r>
        <w:rPr>
          <w:lang w:val="en-US"/>
        </w:rPr>
        <w:t>Dr.'in</w:t>
      </w:r>
      <w:proofErr w:type="spellEnd"/>
      <w:r>
        <w:rPr>
          <w:lang w:val="en-US"/>
        </w:rPr>
        <w:t xml:space="preserve"> Francesca Raimondi</w:t>
      </w:r>
    </w:p>
    <w:p w:rsidR="005A5A6B" w:rsidRDefault="005A5A6B" w:rsidP="005A5A6B">
      <w:pPr>
        <w:spacing w:line="240" w:lineRule="auto"/>
      </w:pPr>
      <w:r>
        <w:t>Zeit | Raum: Dienstags 1</w:t>
      </w:r>
      <w:r w:rsidR="00F45067">
        <w:t>7</w:t>
      </w:r>
      <w:r>
        <w:t>-2</w:t>
      </w:r>
      <w:r w:rsidR="00F45067">
        <w:t>0</w:t>
      </w:r>
      <w:r>
        <w:t>:00 | Altenstein 15</w:t>
      </w:r>
    </w:p>
    <w:p w:rsidR="005A5A6B" w:rsidRDefault="005A5A6B" w:rsidP="005A5A6B">
      <w:pPr>
        <w:spacing w:line="240" w:lineRule="auto"/>
      </w:pPr>
    </w:p>
    <w:p w:rsidR="005A5A6B" w:rsidRDefault="005A5A6B" w:rsidP="005A5A6B"/>
    <w:p w:rsidR="005A5A6B" w:rsidRDefault="00310FEF" w:rsidP="005A5A6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Kolloquium</w:t>
      </w:r>
    </w:p>
    <w:p w:rsidR="005A5A6B" w:rsidRPr="00310FEF" w:rsidRDefault="00902F0C" w:rsidP="005A5A6B">
      <w:pPr>
        <w:jc w:val="center"/>
        <w:rPr>
          <w:b/>
          <w:bCs/>
          <w:i/>
          <w:iCs/>
          <w:sz w:val="32"/>
          <w:szCs w:val="32"/>
        </w:rPr>
      </w:pPr>
      <w:r w:rsidRPr="00310FEF">
        <w:rPr>
          <w:b/>
          <w:bCs/>
          <w:i/>
          <w:iCs/>
          <w:sz w:val="32"/>
          <w:szCs w:val="32"/>
        </w:rPr>
        <w:t>Ästhetische Formen</w:t>
      </w:r>
    </w:p>
    <w:p w:rsidR="00F45067" w:rsidRDefault="00F45067" w:rsidP="005A5A6B"/>
    <w:p w:rsidR="005A5A6B" w:rsidRDefault="005A5A6B" w:rsidP="005A5A6B">
      <w:r>
        <w:rPr>
          <w:b/>
          <w:bCs/>
        </w:rPr>
        <w:t>17.10.</w:t>
      </w:r>
      <w:r>
        <w:rPr>
          <w:b/>
          <w:bCs/>
        </w:rPr>
        <w:tab/>
      </w:r>
      <w:r>
        <w:tab/>
      </w:r>
      <w:r>
        <w:tab/>
      </w:r>
      <w:proofErr w:type="spellStart"/>
      <w:r>
        <w:t>Orgasitzung</w:t>
      </w:r>
      <w:proofErr w:type="spellEnd"/>
      <w:r>
        <w:t xml:space="preserve"> </w:t>
      </w:r>
    </w:p>
    <w:p w:rsidR="005A5A6B" w:rsidRDefault="005A5A6B" w:rsidP="005A5A6B"/>
    <w:p w:rsidR="00F45067" w:rsidRPr="00F45067" w:rsidRDefault="00F45067" w:rsidP="00F4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F45067">
        <w:rPr>
          <w:b/>
          <w:bCs/>
        </w:rPr>
        <w:t xml:space="preserve">Theorie der </w:t>
      </w:r>
      <w:proofErr w:type="spellStart"/>
      <w:r w:rsidRPr="00F45067">
        <w:rPr>
          <w:b/>
          <w:bCs/>
        </w:rPr>
        <w:t>Formativität</w:t>
      </w:r>
      <w:proofErr w:type="spellEnd"/>
      <w:r w:rsidRPr="00F45067">
        <w:rPr>
          <w:b/>
          <w:bCs/>
        </w:rPr>
        <w:t xml:space="preserve"> </w:t>
      </w:r>
    </w:p>
    <w:p w:rsidR="00F45067" w:rsidRDefault="00F45067" w:rsidP="00310FEF">
      <w:pPr>
        <w:ind w:left="2127" w:hanging="2127"/>
        <w:rPr>
          <w:b/>
          <w:bCs/>
        </w:rPr>
      </w:pPr>
    </w:p>
    <w:p w:rsidR="005A5A6B" w:rsidRDefault="005A5A6B" w:rsidP="00310FEF">
      <w:pPr>
        <w:ind w:left="2127" w:hanging="2127"/>
      </w:pPr>
      <w:r>
        <w:rPr>
          <w:b/>
          <w:bCs/>
        </w:rPr>
        <w:t>24.10.</w:t>
      </w:r>
      <w:r>
        <w:tab/>
      </w:r>
      <w:r w:rsidR="003C552C" w:rsidRPr="00310FEF">
        <w:rPr>
          <w:b/>
          <w:bCs/>
        </w:rPr>
        <w:t xml:space="preserve">Luigi </w:t>
      </w:r>
      <w:proofErr w:type="spellStart"/>
      <w:r w:rsidR="003C552C" w:rsidRPr="00310FEF">
        <w:rPr>
          <w:b/>
          <w:bCs/>
        </w:rPr>
        <w:t>Pareyson</w:t>
      </w:r>
      <w:proofErr w:type="spellEnd"/>
      <w:r w:rsidR="00310FEF">
        <w:t>,</w:t>
      </w:r>
      <w:r w:rsidR="003C552C">
        <w:t xml:space="preserve"> </w:t>
      </w:r>
      <w:r w:rsidR="00310FEF" w:rsidRPr="00310FEF">
        <w:rPr>
          <w:i/>
          <w:iCs/>
        </w:rPr>
        <w:t xml:space="preserve">Vom </w:t>
      </w:r>
      <w:r w:rsidR="003C552C" w:rsidRPr="00310FEF">
        <w:rPr>
          <w:i/>
          <w:iCs/>
        </w:rPr>
        <w:t>Staunen der Vernunft</w:t>
      </w:r>
      <w:r w:rsidR="003C552C" w:rsidRPr="003C552C">
        <w:t xml:space="preserve">, </w:t>
      </w:r>
      <w:proofErr w:type="spellStart"/>
      <w:r w:rsidR="00310FEF">
        <w:t>hg</w:t>
      </w:r>
      <w:proofErr w:type="spellEnd"/>
      <w:r w:rsidR="00310FEF">
        <w:t xml:space="preserve">. v. Gianluca De Candia, Münster 2021, </w:t>
      </w:r>
      <w:r w:rsidR="003C552C" w:rsidRPr="003C552C">
        <w:t>S. 103-126</w:t>
      </w:r>
      <w:r w:rsidR="00310FEF">
        <w:t xml:space="preserve">. (= Kap. 5: „Betrachtung des </w:t>
      </w:r>
      <w:proofErr w:type="spellStart"/>
      <w:r w:rsidR="00310FEF">
        <w:t>Schönen</w:t>
      </w:r>
      <w:proofErr w:type="spellEnd"/>
      <w:r w:rsidR="00310FEF">
        <w:t xml:space="preserve"> und Produktion von Formen“; Kap. 6: „</w:t>
      </w:r>
      <w:r w:rsidR="00310FEF" w:rsidRPr="00310FEF">
        <w:t xml:space="preserve">Die </w:t>
      </w:r>
      <w:proofErr w:type="spellStart"/>
      <w:r w:rsidR="00310FEF" w:rsidRPr="00310FEF">
        <w:t>Sozialität</w:t>
      </w:r>
      <w:proofErr w:type="spellEnd"/>
      <w:r w:rsidR="00310FEF" w:rsidRPr="00310FEF">
        <w:t xml:space="preserve"> der Philosophie</w:t>
      </w:r>
      <w:r w:rsidR="00310FEF">
        <w:t xml:space="preserve">“) </w:t>
      </w:r>
      <w:r w:rsidR="00310FEF" w:rsidRPr="00310FEF">
        <w:t>https://library.oapen.org/bitstream/handle/20.500.12657/52644/1/978-3-402-21815-0.pdf</w:t>
      </w:r>
    </w:p>
    <w:p w:rsidR="00F45067" w:rsidRDefault="00F45067" w:rsidP="005A5A6B"/>
    <w:p w:rsidR="005A5A6B" w:rsidRDefault="005A5A6B" w:rsidP="005A5A6B">
      <w:pPr>
        <w:ind w:left="2127" w:hanging="2127"/>
      </w:pPr>
      <w:r>
        <w:rPr>
          <w:b/>
          <w:bCs/>
        </w:rPr>
        <w:t>31.10.</w:t>
      </w:r>
      <w:r>
        <w:tab/>
      </w:r>
      <w:r w:rsidR="003C552C" w:rsidRPr="00310FEF">
        <w:rPr>
          <w:b/>
          <w:bCs/>
        </w:rPr>
        <w:t xml:space="preserve">Luigi </w:t>
      </w:r>
      <w:proofErr w:type="spellStart"/>
      <w:r w:rsidR="003C552C" w:rsidRPr="00310FEF">
        <w:rPr>
          <w:b/>
          <w:bCs/>
        </w:rPr>
        <w:t>Pareyson</w:t>
      </w:r>
      <w:proofErr w:type="spellEnd"/>
      <w:r w:rsidR="00310FEF">
        <w:t>,</w:t>
      </w:r>
      <w:r w:rsidR="003C552C">
        <w:t xml:space="preserve"> </w:t>
      </w:r>
      <w:r w:rsidR="003C552C" w:rsidRPr="00310FEF">
        <w:rPr>
          <w:i/>
          <w:iCs/>
        </w:rPr>
        <w:t>Wahrheit und Interpretation</w:t>
      </w:r>
      <w:r w:rsidR="00310FEF">
        <w:rPr>
          <w:i/>
          <w:iCs/>
        </w:rPr>
        <w:t xml:space="preserve"> </w:t>
      </w:r>
      <w:r w:rsidR="00310FEF">
        <w:t>[1971]</w:t>
      </w:r>
      <w:r w:rsidR="003C552C" w:rsidRPr="003C552C">
        <w:t xml:space="preserve">, </w:t>
      </w:r>
      <w:r w:rsidR="00310FEF">
        <w:t xml:space="preserve">Hamburg 2023, </w:t>
      </w:r>
      <w:r w:rsidR="003C552C" w:rsidRPr="003C552C">
        <w:t xml:space="preserve">S. 15-37 </w:t>
      </w:r>
      <w:r w:rsidR="00310FEF" w:rsidRPr="003C552C">
        <w:t>(</w:t>
      </w:r>
      <w:r w:rsidR="00310FEF">
        <w:t xml:space="preserve">= </w:t>
      </w:r>
      <w:r w:rsidR="00310FEF" w:rsidRPr="003C552C">
        <w:t>Einleitung)</w:t>
      </w:r>
      <w:r w:rsidR="00310FEF">
        <w:t xml:space="preserve">, </w:t>
      </w:r>
      <w:r w:rsidR="00310FEF" w:rsidRPr="003C552C">
        <w:t xml:space="preserve">S. 61-64, S. 69-71, S. 94-107 </w:t>
      </w:r>
      <w:r w:rsidR="00310FEF">
        <w:t xml:space="preserve">(= Erster Teil, </w:t>
      </w:r>
      <w:r w:rsidR="00310FEF" w:rsidRPr="003C552C">
        <w:t>„</w:t>
      </w:r>
      <w:r w:rsidR="00310FEF">
        <w:t xml:space="preserve">II. </w:t>
      </w:r>
      <w:r w:rsidR="00310FEF" w:rsidRPr="003C552C">
        <w:t>Ursprünglichkeit der Interpretation“</w:t>
      </w:r>
      <w:r w:rsidR="00310FEF">
        <w:t xml:space="preserve">, </w:t>
      </w:r>
      <w:r w:rsidR="003C552C" w:rsidRPr="003C552C">
        <w:t>Abs. 1., 2., 5., 12.-14.</w:t>
      </w:r>
      <w:r w:rsidR="00310FEF">
        <w:t>)</w:t>
      </w:r>
      <w:r w:rsidR="003C552C" w:rsidRPr="003C552C">
        <w:t>.</w:t>
      </w:r>
    </w:p>
    <w:p w:rsidR="005A5A6B" w:rsidRDefault="005A5A6B" w:rsidP="005A5A6B"/>
    <w:p w:rsidR="00F45067" w:rsidRPr="00F45067" w:rsidRDefault="00F45067" w:rsidP="00F4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b/>
          <w:bCs/>
        </w:rPr>
      </w:pPr>
      <w:r w:rsidRPr="00F45067">
        <w:rPr>
          <w:b/>
          <w:bCs/>
        </w:rPr>
        <w:t xml:space="preserve">Leben und Form </w:t>
      </w:r>
    </w:p>
    <w:p w:rsidR="00F45067" w:rsidRDefault="005A5A6B" w:rsidP="00F45067">
      <w:pPr>
        <w:ind w:left="2127" w:hanging="2127"/>
      </w:pPr>
      <w:r>
        <w:rPr>
          <w:b/>
          <w:bCs/>
        </w:rPr>
        <w:t>07.11.</w:t>
      </w:r>
      <w:r>
        <w:t xml:space="preserve"> </w:t>
      </w:r>
      <w:r>
        <w:tab/>
      </w:r>
      <w:r w:rsidR="00310FEF" w:rsidRPr="00310FEF">
        <w:rPr>
          <w:b/>
          <w:bCs/>
        </w:rPr>
        <w:t xml:space="preserve">Georg </w:t>
      </w:r>
      <w:r w:rsidR="003C552C" w:rsidRPr="00310FEF">
        <w:rPr>
          <w:b/>
          <w:bCs/>
        </w:rPr>
        <w:t>Lukács</w:t>
      </w:r>
      <w:r w:rsidR="00310FEF">
        <w:t>,</w:t>
      </w:r>
      <w:r w:rsidR="003C552C">
        <w:t xml:space="preserve"> </w:t>
      </w:r>
      <w:r w:rsidR="00F45067" w:rsidRPr="00F45067">
        <w:rPr>
          <w:i/>
          <w:iCs/>
        </w:rPr>
        <w:t xml:space="preserve">Theorie des Romans. Ein geschichtsphilosophischer Versuch </w:t>
      </w:r>
      <w:proofErr w:type="spellStart"/>
      <w:r w:rsidR="00F45067" w:rsidRPr="00F45067">
        <w:rPr>
          <w:i/>
          <w:iCs/>
        </w:rPr>
        <w:t>über</w:t>
      </w:r>
      <w:proofErr w:type="spellEnd"/>
      <w:r w:rsidR="00F45067" w:rsidRPr="00F45067">
        <w:rPr>
          <w:i/>
          <w:iCs/>
        </w:rPr>
        <w:t xml:space="preserve"> die Formen der großen Epik</w:t>
      </w:r>
      <w:r w:rsidR="00F45067">
        <w:t>, Neuwied</w:t>
      </w:r>
      <w:r w:rsidR="003C19EF">
        <w:t>/</w:t>
      </w:r>
      <w:r w:rsidR="00F45067">
        <w:t>Berlin 1971, S. 2</w:t>
      </w:r>
      <w:r w:rsidR="003C19EF">
        <w:t>1</w:t>
      </w:r>
      <w:r w:rsidR="00F45067">
        <w:t>-</w:t>
      </w:r>
      <w:r w:rsidR="003C19EF">
        <w:t>8</w:t>
      </w:r>
      <w:r w:rsidR="00F45067">
        <w:t>2</w:t>
      </w:r>
      <w:r w:rsidR="00591172">
        <w:t xml:space="preserve"> (insbes. 21-46; 61-82)</w:t>
      </w:r>
      <w:r w:rsidR="00F45067">
        <w:t>.</w:t>
      </w:r>
      <w:r w:rsidR="00591172">
        <w:t xml:space="preserve"> </w:t>
      </w:r>
    </w:p>
    <w:p w:rsidR="00F45067" w:rsidRDefault="00F45067" w:rsidP="005A5A6B"/>
    <w:p w:rsidR="00F45067" w:rsidRPr="00F45067" w:rsidRDefault="00F45067" w:rsidP="00F4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b/>
          <w:bCs/>
        </w:rPr>
      </w:pPr>
      <w:r>
        <w:rPr>
          <w:b/>
          <w:bCs/>
        </w:rPr>
        <w:t>Warenform und Denkform</w:t>
      </w:r>
    </w:p>
    <w:p w:rsidR="00F45067" w:rsidRPr="00F45067" w:rsidRDefault="005A5A6B" w:rsidP="004E0608">
      <w:pPr>
        <w:spacing w:after="120"/>
        <w:ind w:left="2126" w:hanging="2126"/>
      </w:pPr>
      <w:r>
        <w:rPr>
          <w:b/>
          <w:bCs/>
        </w:rPr>
        <w:t>14.11.</w:t>
      </w:r>
      <w:r>
        <w:tab/>
      </w:r>
      <w:r w:rsidR="00310FEF" w:rsidRPr="00310FEF">
        <w:rPr>
          <w:b/>
          <w:bCs/>
        </w:rPr>
        <w:t>Georg Lukács</w:t>
      </w:r>
      <w:r w:rsidR="00310FEF">
        <w:t xml:space="preserve">, </w:t>
      </w:r>
      <w:r w:rsidR="00F45067" w:rsidRPr="00F45067">
        <w:t>„</w:t>
      </w:r>
      <w:r w:rsidR="00496090">
        <w:t>Klassenbewusstsein</w:t>
      </w:r>
      <w:r w:rsidR="00F45067" w:rsidRPr="00F45067">
        <w:t xml:space="preserve">“, in: </w:t>
      </w:r>
      <w:r w:rsidR="00F45067" w:rsidRPr="00F45067">
        <w:rPr>
          <w:i/>
        </w:rPr>
        <w:t xml:space="preserve">Geschichte und </w:t>
      </w:r>
      <w:proofErr w:type="spellStart"/>
      <w:r w:rsidR="00F45067" w:rsidRPr="00F45067">
        <w:rPr>
          <w:i/>
        </w:rPr>
        <w:t>Klassenbewußtsein</w:t>
      </w:r>
      <w:proofErr w:type="spellEnd"/>
      <w:r w:rsidR="00F45067" w:rsidRPr="00F45067">
        <w:t>, Darmstadt</w:t>
      </w:r>
      <w:r w:rsidR="00171C61">
        <w:t>/</w:t>
      </w:r>
      <w:r w:rsidR="00F45067" w:rsidRPr="00F45067">
        <w:t>Neuwied 197</w:t>
      </w:r>
      <w:r w:rsidR="004E0608">
        <w:t>7</w:t>
      </w:r>
      <w:r w:rsidR="00F45067" w:rsidRPr="00F45067">
        <w:t xml:space="preserve">, S. </w:t>
      </w:r>
      <w:r w:rsidR="00496090">
        <w:t>218-256</w:t>
      </w:r>
      <w:r w:rsidR="00F45067">
        <w:t>.</w:t>
      </w:r>
    </w:p>
    <w:p w:rsidR="005A5A6B" w:rsidRDefault="005A5A6B" w:rsidP="00F45067">
      <w:pPr>
        <w:ind w:left="2127" w:hanging="2127"/>
        <w:rPr>
          <w:b/>
          <w:bCs/>
        </w:rPr>
      </w:pPr>
    </w:p>
    <w:p w:rsidR="00F45067" w:rsidRDefault="00496090" w:rsidP="00F4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166" w:hanging="2166"/>
        <w:rPr>
          <w:b/>
          <w:bCs/>
        </w:rPr>
      </w:pPr>
      <w:r>
        <w:rPr>
          <w:b/>
          <w:bCs/>
        </w:rPr>
        <w:lastRenderedPageBreak/>
        <w:t>Warenform und Denkform</w:t>
      </w:r>
    </w:p>
    <w:p w:rsidR="00496090" w:rsidRPr="00F45067" w:rsidRDefault="005A5A6B" w:rsidP="00496090">
      <w:pPr>
        <w:spacing w:after="120"/>
        <w:ind w:left="2126" w:hanging="2126"/>
      </w:pPr>
      <w:r>
        <w:rPr>
          <w:b/>
          <w:bCs/>
        </w:rPr>
        <w:t>21.11.</w:t>
      </w:r>
      <w:r>
        <w:tab/>
      </w:r>
      <w:r w:rsidR="00496090" w:rsidRPr="00310FEF">
        <w:rPr>
          <w:b/>
          <w:bCs/>
        </w:rPr>
        <w:t>Georg Lukács</w:t>
      </w:r>
      <w:r w:rsidR="00496090">
        <w:t xml:space="preserve">, </w:t>
      </w:r>
      <w:r w:rsidR="00496090" w:rsidRPr="00F45067">
        <w:t xml:space="preserve">„Die Verdinglichung und das </w:t>
      </w:r>
      <w:proofErr w:type="spellStart"/>
      <w:r w:rsidR="00496090" w:rsidRPr="00F45067">
        <w:t>Bewußtsein</w:t>
      </w:r>
      <w:proofErr w:type="spellEnd"/>
      <w:r w:rsidR="00496090" w:rsidRPr="00F45067">
        <w:t xml:space="preserve"> des Proletariats“, in: </w:t>
      </w:r>
      <w:r w:rsidR="00496090" w:rsidRPr="00F45067">
        <w:rPr>
          <w:i/>
        </w:rPr>
        <w:t xml:space="preserve">Geschichte und </w:t>
      </w:r>
      <w:proofErr w:type="spellStart"/>
      <w:r w:rsidR="00496090" w:rsidRPr="00F45067">
        <w:rPr>
          <w:i/>
        </w:rPr>
        <w:t>Klassenbewußtsein</w:t>
      </w:r>
      <w:proofErr w:type="spellEnd"/>
      <w:r w:rsidR="00496090" w:rsidRPr="00F45067">
        <w:t>, Darmstadt</w:t>
      </w:r>
      <w:r w:rsidR="00496090">
        <w:t>/</w:t>
      </w:r>
      <w:r w:rsidR="00496090" w:rsidRPr="00F45067">
        <w:t>Neuwied 197</w:t>
      </w:r>
      <w:r w:rsidR="00496090">
        <w:t>7</w:t>
      </w:r>
      <w:r w:rsidR="00496090" w:rsidRPr="00F45067">
        <w:t xml:space="preserve">, S. </w:t>
      </w:r>
      <w:r w:rsidR="00496090">
        <w:t>257-286.</w:t>
      </w:r>
    </w:p>
    <w:p w:rsidR="00496090" w:rsidRPr="004E0608" w:rsidRDefault="00496090" w:rsidP="00496090">
      <w:pPr>
        <w:ind w:left="2127" w:hanging="3"/>
        <w:rPr>
          <w:sz w:val="22"/>
          <w:szCs w:val="22"/>
        </w:rPr>
      </w:pPr>
      <w:r w:rsidRPr="004E0608">
        <w:rPr>
          <w:i/>
          <w:iCs/>
          <w:sz w:val="22"/>
          <w:szCs w:val="22"/>
        </w:rPr>
        <w:t>Hintergrund</w:t>
      </w:r>
      <w:r w:rsidRPr="004E0608">
        <w:rPr>
          <w:sz w:val="22"/>
          <w:szCs w:val="22"/>
        </w:rPr>
        <w:t xml:space="preserve">: Alfred Sohn-Rethel, </w:t>
      </w:r>
      <w:r w:rsidRPr="004E0608">
        <w:rPr>
          <w:i/>
          <w:sz w:val="22"/>
          <w:szCs w:val="22"/>
        </w:rPr>
        <w:t>Warenform und Denkform</w:t>
      </w:r>
      <w:r w:rsidRPr="004E0608">
        <w:rPr>
          <w:sz w:val="22"/>
          <w:szCs w:val="22"/>
        </w:rPr>
        <w:t>, Frankfurt/M</w:t>
      </w:r>
      <w:r>
        <w:rPr>
          <w:sz w:val="22"/>
          <w:szCs w:val="22"/>
        </w:rPr>
        <w:t xml:space="preserve">. </w:t>
      </w:r>
      <w:r w:rsidRPr="004E0608">
        <w:rPr>
          <w:sz w:val="22"/>
          <w:szCs w:val="22"/>
        </w:rPr>
        <w:t>1978, v.a. S. 103-133 (ergänzend: S. 27-89).</w:t>
      </w:r>
    </w:p>
    <w:p w:rsidR="005A5A6B" w:rsidRDefault="005A5A6B" w:rsidP="005A5A6B">
      <w:pPr>
        <w:ind w:left="2166" w:hanging="2166"/>
      </w:pPr>
    </w:p>
    <w:p w:rsidR="00F45067" w:rsidRPr="00F45067" w:rsidRDefault="00496090" w:rsidP="00F4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166" w:hanging="2166"/>
        <w:rPr>
          <w:b/>
          <w:bCs/>
        </w:rPr>
      </w:pPr>
      <w:r>
        <w:rPr>
          <w:b/>
          <w:bCs/>
        </w:rPr>
        <w:t>Formen des Denkens</w:t>
      </w:r>
    </w:p>
    <w:p w:rsidR="00496090" w:rsidRDefault="005A5A6B" w:rsidP="00496090">
      <w:pPr>
        <w:spacing w:after="120"/>
        <w:ind w:left="2166" w:hanging="2166"/>
      </w:pPr>
      <w:r>
        <w:rPr>
          <w:b/>
          <w:bCs/>
        </w:rPr>
        <w:t>28.11.</w:t>
      </w:r>
      <w:r>
        <w:tab/>
      </w:r>
      <w:r w:rsidR="00496090" w:rsidRPr="00310FEF">
        <w:rPr>
          <w:b/>
          <w:bCs/>
        </w:rPr>
        <w:t>Theodor W. Adorno</w:t>
      </w:r>
      <w:r w:rsidR="00496090">
        <w:t xml:space="preserve">, „Der Essay als Form“, in: </w:t>
      </w:r>
      <w:proofErr w:type="spellStart"/>
      <w:r w:rsidR="00496090">
        <w:t>ders</w:t>
      </w:r>
      <w:proofErr w:type="spellEnd"/>
      <w:r w:rsidR="00496090">
        <w:t xml:space="preserve">., </w:t>
      </w:r>
      <w:r w:rsidR="00496090" w:rsidRPr="00F45067">
        <w:rPr>
          <w:i/>
          <w:iCs/>
        </w:rPr>
        <w:t>Noten zur Literatur</w:t>
      </w:r>
      <w:r w:rsidR="00496090">
        <w:t>, GS 11, Frankfurt/M. 2003, S. 9-33.</w:t>
      </w:r>
    </w:p>
    <w:p w:rsidR="00496090" w:rsidRPr="004E0608" w:rsidRDefault="00496090" w:rsidP="00496090">
      <w:pPr>
        <w:ind w:left="2166" w:hanging="2166"/>
        <w:rPr>
          <w:sz w:val="22"/>
          <w:szCs w:val="22"/>
        </w:rPr>
      </w:pPr>
      <w:r>
        <w:rPr>
          <w:b/>
          <w:bCs/>
        </w:rPr>
        <w:tab/>
      </w:r>
      <w:r w:rsidRPr="004E0608">
        <w:rPr>
          <w:i/>
          <w:iCs/>
          <w:sz w:val="22"/>
          <w:szCs w:val="22"/>
        </w:rPr>
        <w:t>Hintergrund</w:t>
      </w:r>
      <w:r w:rsidRPr="004E0608">
        <w:rPr>
          <w:sz w:val="22"/>
          <w:szCs w:val="22"/>
        </w:rPr>
        <w:t>:</w:t>
      </w:r>
      <w:r w:rsidRPr="004E0608">
        <w:rPr>
          <w:b/>
          <w:bCs/>
          <w:sz w:val="22"/>
          <w:szCs w:val="22"/>
        </w:rPr>
        <w:t xml:space="preserve"> Georg Lukács</w:t>
      </w:r>
      <w:r w:rsidRPr="004E0608">
        <w:rPr>
          <w:sz w:val="22"/>
          <w:szCs w:val="22"/>
        </w:rPr>
        <w:t xml:space="preserve">, „Über Form und Wesen des Essays. Brief an Leo Popper“, in: </w:t>
      </w:r>
      <w:proofErr w:type="spellStart"/>
      <w:r w:rsidRPr="004E0608">
        <w:rPr>
          <w:sz w:val="22"/>
          <w:szCs w:val="22"/>
        </w:rPr>
        <w:t>ders</w:t>
      </w:r>
      <w:proofErr w:type="spellEnd"/>
      <w:r w:rsidRPr="004E0608">
        <w:rPr>
          <w:sz w:val="22"/>
          <w:szCs w:val="22"/>
        </w:rPr>
        <w:t xml:space="preserve">., </w:t>
      </w:r>
      <w:r w:rsidRPr="0051384F">
        <w:rPr>
          <w:i/>
          <w:iCs/>
          <w:sz w:val="22"/>
          <w:szCs w:val="22"/>
        </w:rPr>
        <w:t>Die Seele und die Formen</w:t>
      </w:r>
      <w:r w:rsidRPr="004E0608">
        <w:rPr>
          <w:sz w:val="22"/>
          <w:szCs w:val="22"/>
        </w:rPr>
        <w:t>, Bielefeld 2011, S. 23-44.</w:t>
      </w:r>
    </w:p>
    <w:p w:rsidR="00F45067" w:rsidRDefault="00F45067" w:rsidP="00310FEF">
      <w:pPr>
        <w:ind w:left="2166" w:hanging="2148"/>
      </w:pPr>
    </w:p>
    <w:p w:rsidR="00F45067" w:rsidRDefault="00F45067" w:rsidP="00F4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b/>
          <w:bCs/>
        </w:rPr>
      </w:pPr>
      <w:r>
        <w:rPr>
          <w:b/>
          <w:bCs/>
        </w:rPr>
        <w:t>Gastbeitrag</w:t>
      </w:r>
    </w:p>
    <w:p w:rsidR="005A5A6B" w:rsidRDefault="005A5A6B" w:rsidP="00F45067">
      <w:pPr>
        <w:ind w:left="2127" w:hanging="2127"/>
      </w:pPr>
      <w:r>
        <w:rPr>
          <w:b/>
          <w:bCs/>
        </w:rPr>
        <w:t>05.12.</w:t>
      </w:r>
      <w:r>
        <w:rPr>
          <w:b/>
          <w:bCs/>
        </w:rPr>
        <w:tab/>
      </w:r>
      <w:r w:rsidR="00CA5212" w:rsidRPr="00310FEF">
        <w:rPr>
          <w:b/>
          <w:bCs/>
        </w:rPr>
        <w:t xml:space="preserve">Fabian </w:t>
      </w:r>
      <w:proofErr w:type="spellStart"/>
      <w:r w:rsidR="00CA5212" w:rsidRPr="00310FEF">
        <w:rPr>
          <w:b/>
          <w:bCs/>
        </w:rPr>
        <w:t>Heubel</w:t>
      </w:r>
      <w:proofErr w:type="spellEnd"/>
      <w:r w:rsidR="00310FEF">
        <w:t>,</w:t>
      </w:r>
      <w:r w:rsidR="004D2BEB">
        <w:t xml:space="preserve"> </w:t>
      </w:r>
      <w:r w:rsidR="00310FEF">
        <w:t>„</w:t>
      </w:r>
      <w:r w:rsidR="004D2BEB" w:rsidRPr="004D2BEB">
        <w:t>Ästhetische Kultivierung und doppelte Ontologie. Zu einer transkulturellen Philosophie des Weges</w:t>
      </w:r>
      <w:r w:rsidR="00310FEF">
        <w:t>“</w:t>
      </w:r>
      <w:r w:rsidR="00F45067">
        <w:t xml:space="preserve"> </w:t>
      </w:r>
      <w:r w:rsidR="00F45067" w:rsidRPr="00F45067">
        <w:t>(Lektüre und Diskussion</w:t>
      </w:r>
      <w:r w:rsidR="00F45067">
        <w:t>)</w:t>
      </w:r>
    </w:p>
    <w:p w:rsidR="00F45067" w:rsidRDefault="00F45067" w:rsidP="004D2BEB">
      <w:pPr>
        <w:ind w:left="2127" w:hanging="2127"/>
      </w:pPr>
    </w:p>
    <w:p w:rsidR="005A5A6B" w:rsidRDefault="00F45067" w:rsidP="00F4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126" w:hanging="2126"/>
        <w:rPr>
          <w:b/>
          <w:bCs/>
        </w:rPr>
      </w:pPr>
      <w:r>
        <w:rPr>
          <w:b/>
          <w:bCs/>
        </w:rPr>
        <w:t xml:space="preserve">Ästhetik der Existenz </w:t>
      </w:r>
    </w:p>
    <w:p w:rsidR="005A5A6B" w:rsidRDefault="005A5A6B" w:rsidP="005A5A6B">
      <w:pPr>
        <w:ind w:left="2127" w:hanging="2127"/>
      </w:pPr>
      <w:r>
        <w:rPr>
          <w:b/>
          <w:bCs/>
        </w:rPr>
        <w:t>1</w:t>
      </w:r>
      <w:r w:rsidR="00F45067">
        <w:rPr>
          <w:b/>
          <w:bCs/>
        </w:rPr>
        <w:t>4</w:t>
      </w:r>
      <w:r>
        <w:rPr>
          <w:b/>
          <w:bCs/>
        </w:rPr>
        <w:t>.12.</w:t>
      </w:r>
      <w:r>
        <w:rPr>
          <w:b/>
          <w:bCs/>
        </w:rPr>
        <w:tab/>
      </w:r>
      <w:r w:rsidR="00F45067">
        <w:t xml:space="preserve">Gemeinsame Sitzung mit dem Kolloquium von Thomas </w:t>
      </w:r>
      <w:proofErr w:type="spellStart"/>
      <w:r w:rsidR="00F45067">
        <w:t>Khurana</w:t>
      </w:r>
      <w:proofErr w:type="spellEnd"/>
      <w:r w:rsidR="00F45067">
        <w:t xml:space="preserve">: </w:t>
      </w:r>
    </w:p>
    <w:p w:rsidR="00F45067" w:rsidRDefault="00F45067" w:rsidP="00F45067">
      <w:pPr>
        <w:rPr>
          <w:i/>
          <w:iCs/>
        </w:rPr>
      </w:pPr>
      <w:r>
        <w:rPr>
          <w:b/>
          <w:bCs/>
        </w:rPr>
        <w:t xml:space="preserve">Oder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Michel </w:t>
      </w:r>
      <w:r w:rsidRPr="00F45067">
        <w:rPr>
          <w:b/>
          <w:bCs/>
        </w:rPr>
        <w:t xml:space="preserve">Foucault, </w:t>
      </w:r>
      <w:r w:rsidRPr="00F45067">
        <w:t xml:space="preserve">„Eine Ästhetik der Existenz“, in: </w:t>
      </w:r>
      <w:r w:rsidRPr="00F45067">
        <w:rPr>
          <w:i/>
          <w:iCs/>
        </w:rPr>
        <w:t xml:space="preserve">Ästhetik der </w:t>
      </w:r>
    </w:p>
    <w:p w:rsidR="00F45067" w:rsidRPr="00F45067" w:rsidRDefault="00F45067" w:rsidP="00F45067">
      <w:r>
        <w:rPr>
          <w:b/>
          <w:bCs/>
        </w:rPr>
        <w:t xml:space="preserve">15.12. </w:t>
      </w:r>
      <w:r>
        <w:rPr>
          <w:b/>
          <w:bCs/>
        </w:rPr>
        <w:tab/>
      </w:r>
      <w:r>
        <w:rPr>
          <w:b/>
          <w:bCs/>
        </w:rPr>
        <w:tab/>
      </w:r>
      <w:r w:rsidRPr="00F45067">
        <w:rPr>
          <w:i/>
          <w:iCs/>
        </w:rPr>
        <w:t>Existenz</w:t>
      </w:r>
      <w:r w:rsidRPr="00F45067">
        <w:t xml:space="preserve">, Frankfurt/M: Suhrkamp, 280-87. </w:t>
      </w:r>
    </w:p>
    <w:p w:rsidR="00F45067" w:rsidRPr="00F45067" w:rsidRDefault="00F45067" w:rsidP="00F45067">
      <w:pPr>
        <w:ind w:left="2127" w:hanging="3"/>
      </w:pPr>
      <w:r>
        <w:rPr>
          <w:b/>
          <w:bCs/>
        </w:rPr>
        <w:t xml:space="preserve">Michel </w:t>
      </w:r>
      <w:r w:rsidRPr="00F45067">
        <w:rPr>
          <w:b/>
          <w:bCs/>
        </w:rPr>
        <w:t xml:space="preserve">Foucault, </w:t>
      </w:r>
      <w:r w:rsidRPr="00F45067">
        <w:t xml:space="preserve">“Zur Genealogie der Ethik: Ein Überblick über die laufende Arbeit“, in </w:t>
      </w:r>
      <w:r w:rsidRPr="00F45067">
        <w:rPr>
          <w:i/>
          <w:iCs/>
        </w:rPr>
        <w:t>Ästhetik der Existenz</w:t>
      </w:r>
      <w:r w:rsidRPr="00F45067">
        <w:t>, Frankfurt/M: Suhrkamp, 191-220</w:t>
      </w:r>
      <w:r>
        <w:t>.</w:t>
      </w:r>
    </w:p>
    <w:p w:rsidR="00F45067" w:rsidRPr="00F45067" w:rsidRDefault="00F45067" w:rsidP="00F45067">
      <w:pPr>
        <w:ind w:left="4251" w:hanging="2127"/>
      </w:pPr>
      <w:r>
        <w:rPr>
          <w:b/>
          <w:bCs/>
        </w:rPr>
        <w:t xml:space="preserve">Michel </w:t>
      </w:r>
      <w:r w:rsidRPr="00F45067">
        <w:rPr>
          <w:b/>
          <w:bCs/>
        </w:rPr>
        <w:t xml:space="preserve">Foucault, </w:t>
      </w:r>
      <w:r w:rsidRPr="00F45067">
        <w:rPr>
          <w:i/>
          <w:iCs/>
        </w:rPr>
        <w:t>Hermeneutik des Subjekts</w:t>
      </w:r>
      <w:r w:rsidRPr="00F45067">
        <w:t>, Vorlesung 21.</w:t>
      </w:r>
    </w:p>
    <w:p w:rsidR="00F45067" w:rsidRPr="00F45067" w:rsidRDefault="00F45067" w:rsidP="00F45067">
      <w:pPr>
        <w:ind w:left="2127" w:hanging="3"/>
      </w:pPr>
      <w:r w:rsidRPr="00F45067">
        <w:rPr>
          <w:b/>
          <w:bCs/>
        </w:rPr>
        <w:t>Michel Foucault</w:t>
      </w:r>
      <w:r w:rsidRPr="00F45067">
        <w:t xml:space="preserve">, </w:t>
      </w:r>
      <w:r w:rsidRPr="00F45067">
        <w:rPr>
          <w:i/>
          <w:iCs/>
        </w:rPr>
        <w:t>Der Gebrauch der Lüste, Sexualität und Wahrheit II</w:t>
      </w:r>
      <w:r w:rsidRPr="00F45067">
        <w:t>, Frankfurt/M.: Suhrkamp, S. 9-21, 36-45.</w:t>
      </w:r>
    </w:p>
    <w:p w:rsidR="00F45067" w:rsidRDefault="00F45067" w:rsidP="00F45067">
      <w:pPr>
        <w:ind w:left="2127" w:hanging="2127"/>
        <w:rPr>
          <w:b/>
          <w:bCs/>
        </w:rPr>
      </w:pPr>
    </w:p>
    <w:p w:rsidR="00F45067" w:rsidRDefault="00F45067" w:rsidP="00F45067">
      <w:pPr>
        <w:ind w:left="2127" w:hanging="2127"/>
        <w:rPr>
          <w:b/>
          <w:bCs/>
        </w:rPr>
      </w:pPr>
    </w:p>
    <w:p w:rsidR="00F45067" w:rsidRDefault="00F45067" w:rsidP="00F4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b/>
          <w:bCs/>
        </w:rPr>
      </w:pPr>
      <w:r w:rsidRPr="00F45067">
        <w:rPr>
          <w:b/>
          <w:bCs/>
        </w:rPr>
        <w:t>Projektpräsentation</w:t>
      </w:r>
      <w:r w:rsidR="002D3C33">
        <w:rPr>
          <w:b/>
          <w:bCs/>
        </w:rPr>
        <w:t>en</w:t>
      </w:r>
    </w:p>
    <w:p w:rsidR="00F45067" w:rsidRPr="00FB4629" w:rsidRDefault="005A5A6B" w:rsidP="00F45067">
      <w:pPr>
        <w:ind w:left="2127" w:hanging="2127"/>
        <w:rPr>
          <w:b/>
          <w:bCs/>
          <w:lang w:val="en-US"/>
        </w:rPr>
      </w:pPr>
      <w:r>
        <w:rPr>
          <w:b/>
          <w:bCs/>
        </w:rPr>
        <w:lastRenderedPageBreak/>
        <w:t>19.12.</w:t>
      </w:r>
      <w:r>
        <w:rPr>
          <w:b/>
          <w:bCs/>
        </w:rPr>
        <w:tab/>
      </w:r>
      <w:proofErr w:type="spellStart"/>
      <w:r w:rsidR="00917DD2" w:rsidRPr="00FB4629">
        <w:rPr>
          <w:b/>
          <w:bCs/>
          <w:lang w:val="en-US"/>
        </w:rPr>
        <w:t>Ioanna</w:t>
      </w:r>
      <w:proofErr w:type="spellEnd"/>
      <w:r w:rsidR="00225C9E" w:rsidRPr="00FB4629">
        <w:rPr>
          <w:b/>
          <w:bCs/>
          <w:lang w:val="en-US"/>
        </w:rPr>
        <w:t xml:space="preserve"> </w:t>
      </w:r>
      <w:proofErr w:type="spellStart"/>
      <w:r w:rsidR="004E0608" w:rsidRPr="00FB4629">
        <w:rPr>
          <w:b/>
          <w:bCs/>
          <w:lang w:val="en-US"/>
        </w:rPr>
        <w:t>Bartsidi</w:t>
      </w:r>
      <w:proofErr w:type="spellEnd"/>
      <w:r w:rsidR="00FB4629" w:rsidRPr="00FB4629">
        <w:rPr>
          <w:b/>
          <w:bCs/>
          <w:lang w:val="en-US"/>
        </w:rPr>
        <w:t xml:space="preserve">, </w:t>
      </w:r>
      <w:r w:rsidR="00FB4629" w:rsidRPr="00FB4629">
        <w:rPr>
          <w:lang w:val="en-US"/>
        </w:rPr>
        <w:t>„</w:t>
      </w:r>
      <w:r w:rsidR="00FB4629" w:rsidRPr="00FB4629">
        <w:rPr>
          <w:lang w:val="en-US"/>
        </w:rPr>
        <w:t>Historicity and the present of philosophical discourse in Hegel and post-</w:t>
      </w:r>
      <w:proofErr w:type="spellStart"/>
      <w:r w:rsidR="00FB4629" w:rsidRPr="00FB4629">
        <w:rPr>
          <w:lang w:val="en-US"/>
        </w:rPr>
        <w:t>hegelian</w:t>
      </w:r>
      <w:proofErr w:type="spellEnd"/>
      <w:r w:rsidR="00FB4629" w:rsidRPr="00FB4629">
        <w:rPr>
          <w:lang w:val="en-US"/>
        </w:rPr>
        <w:t xml:space="preserve"> models</w:t>
      </w:r>
      <w:r w:rsidR="00FB4629" w:rsidRPr="00FB4629">
        <w:rPr>
          <w:lang w:val="en-US"/>
        </w:rPr>
        <w:t>”</w:t>
      </w:r>
    </w:p>
    <w:p w:rsidR="00FA20C4" w:rsidRPr="00F364DC" w:rsidRDefault="00917DD2" w:rsidP="00FA20C4">
      <w:pPr>
        <w:ind w:left="2127" w:hanging="2127"/>
      </w:pPr>
      <w:r w:rsidRPr="00FB4629">
        <w:rPr>
          <w:b/>
          <w:bCs/>
          <w:lang w:val="en-US"/>
        </w:rPr>
        <w:tab/>
      </w:r>
      <w:r w:rsidR="00FA20C4" w:rsidRPr="00F364DC">
        <w:rPr>
          <w:b/>
          <w:bCs/>
        </w:rPr>
        <w:t xml:space="preserve">Niccolò </w:t>
      </w:r>
      <w:proofErr w:type="spellStart"/>
      <w:r w:rsidR="00FA20C4" w:rsidRPr="00F364DC">
        <w:rPr>
          <w:b/>
          <w:bCs/>
        </w:rPr>
        <w:t>Izzi</w:t>
      </w:r>
      <w:proofErr w:type="spellEnd"/>
      <w:r w:rsidR="00FA20C4" w:rsidRPr="00F364DC">
        <w:rPr>
          <w:b/>
          <w:bCs/>
        </w:rPr>
        <w:t xml:space="preserve">, </w:t>
      </w:r>
      <w:r w:rsidR="00F364DC" w:rsidRPr="00F364DC">
        <w:t>“Das transformative Potential der Kunst und</w:t>
      </w:r>
      <w:r w:rsidR="00F364DC">
        <w:t xml:space="preserve"> sein politischer Wert“</w:t>
      </w:r>
    </w:p>
    <w:p w:rsidR="00917DD2" w:rsidRPr="00F364DC" w:rsidRDefault="00917DD2" w:rsidP="00F45067">
      <w:pPr>
        <w:ind w:left="2127" w:hanging="2127"/>
        <w:rPr>
          <w:b/>
          <w:bCs/>
        </w:rPr>
      </w:pPr>
    </w:p>
    <w:p w:rsidR="00F45067" w:rsidRPr="00F45067" w:rsidRDefault="00F45067" w:rsidP="00F4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b/>
          <w:bCs/>
        </w:rPr>
      </w:pPr>
      <w:r w:rsidRPr="00F45067">
        <w:rPr>
          <w:b/>
          <w:bCs/>
        </w:rPr>
        <w:t>Projektpräsentation</w:t>
      </w:r>
      <w:r w:rsidR="002D3C33">
        <w:rPr>
          <w:b/>
          <w:bCs/>
        </w:rPr>
        <w:t>en</w:t>
      </w:r>
    </w:p>
    <w:p w:rsidR="005A5A6B" w:rsidRDefault="005A5A6B" w:rsidP="00014A31">
      <w:pPr>
        <w:ind w:left="2127" w:hanging="2127"/>
        <w:rPr>
          <w:b/>
          <w:bCs/>
        </w:rPr>
      </w:pPr>
      <w:r>
        <w:rPr>
          <w:b/>
          <w:bCs/>
        </w:rPr>
        <w:t>09.01.</w:t>
      </w:r>
      <w:r>
        <w:rPr>
          <w:b/>
          <w:bCs/>
        </w:rPr>
        <w:tab/>
      </w:r>
      <w:r w:rsidR="00917DD2">
        <w:rPr>
          <w:b/>
          <w:bCs/>
        </w:rPr>
        <w:t>Maxim</w:t>
      </w:r>
      <w:r w:rsidR="00F45067" w:rsidRPr="00F45067">
        <w:rPr>
          <w:b/>
          <w:bCs/>
        </w:rPr>
        <w:t xml:space="preserve"> </w:t>
      </w:r>
      <w:r w:rsidR="00264E4D">
        <w:rPr>
          <w:b/>
          <w:bCs/>
        </w:rPr>
        <w:t xml:space="preserve">Kares, </w:t>
      </w:r>
      <w:r w:rsidR="004E0608">
        <w:rPr>
          <w:b/>
          <w:bCs/>
        </w:rPr>
        <w:t>„</w:t>
      </w:r>
      <w:r w:rsidR="00014A31" w:rsidRPr="004E0608">
        <w:t>Transformative Körper. Das transformative Potential von Körpern in symbolischen Praktiken</w:t>
      </w:r>
      <w:r w:rsidR="004E0608">
        <w:t>“</w:t>
      </w:r>
    </w:p>
    <w:p w:rsidR="00917DD2" w:rsidRPr="00264E4D" w:rsidRDefault="00917DD2" w:rsidP="00264E4D">
      <w:pPr>
        <w:ind w:left="2127" w:hanging="2127"/>
        <w:rPr>
          <w:i/>
          <w:iCs/>
        </w:rPr>
      </w:pPr>
      <w:r>
        <w:rPr>
          <w:b/>
          <w:bCs/>
        </w:rPr>
        <w:tab/>
        <w:t>Noah</w:t>
      </w:r>
      <w:r w:rsidR="009D28F0">
        <w:rPr>
          <w:b/>
          <w:bCs/>
        </w:rPr>
        <w:t xml:space="preserve"> Grossman, </w:t>
      </w:r>
      <w:r w:rsidR="004E0608">
        <w:rPr>
          <w:b/>
          <w:bCs/>
        </w:rPr>
        <w:t>„</w:t>
      </w:r>
      <w:r w:rsidR="00264E4D" w:rsidRPr="004E0608">
        <w:t>Ermächtigung zum Kollektiv. Beschreibungen von Musikkulturen in den Black und Cultural Studies</w:t>
      </w:r>
      <w:r w:rsidR="004E0608">
        <w:t>“</w:t>
      </w:r>
    </w:p>
    <w:p w:rsidR="00F45067" w:rsidRDefault="00F45067" w:rsidP="005A5A6B"/>
    <w:p w:rsidR="00F45067" w:rsidRDefault="00F45067" w:rsidP="00F4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b/>
          <w:bCs/>
        </w:rPr>
      </w:pPr>
      <w:r>
        <w:rPr>
          <w:b/>
          <w:bCs/>
        </w:rPr>
        <w:t>Gastbeitrag</w:t>
      </w:r>
    </w:p>
    <w:p w:rsidR="00F45067" w:rsidRDefault="005A5A6B" w:rsidP="00310FEF">
      <w:pPr>
        <w:ind w:left="2127" w:hanging="2127"/>
        <w:rPr>
          <w:b/>
          <w:bCs/>
        </w:rPr>
      </w:pPr>
      <w:r>
        <w:rPr>
          <w:b/>
          <w:bCs/>
        </w:rPr>
        <w:t>16.01.</w:t>
      </w:r>
      <w:r>
        <w:rPr>
          <w:b/>
          <w:bCs/>
        </w:rPr>
        <w:tab/>
      </w:r>
      <w:r w:rsidR="00F45067" w:rsidRPr="00F45067">
        <w:t xml:space="preserve">Gemeinsame Sitzung mit dem Kolloquium von Dina </w:t>
      </w:r>
      <w:proofErr w:type="spellStart"/>
      <w:r w:rsidR="00F45067" w:rsidRPr="00F45067">
        <w:t>Emundts</w:t>
      </w:r>
      <w:proofErr w:type="spellEnd"/>
    </w:p>
    <w:p w:rsidR="005A5A6B" w:rsidRPr="00F45067" w:rsidRDefault="00310FEF" w:rsidP="00F45067">
      <w:pPr>
        <w:ind w:left="2127" w:hanging="3"/>
        <w:rPr>
          <w:b/>
          <w:bCs/>
          <w:lang w:val="en-US"/>
        </w:rPr>
      </w:pPr>
      <w:r w:rsidRPr="00F45067">
        <w:rPr>
          <w:b/>
          <w:bCs/>
          <w:lang w:val="en-US"/>
        </w:rPr>
        <w:t>David James,</w:t>
      </w:r>
      <w:r w:rsidRPr="00F45067">
        <w:rPr>
          <w:lang w:val="en-US"/>
        </w:rPr>
        <w:t xml:space="preserve"> </w:t>
      </w:r>
      <w:r w:rsidR="00F45067" w:rsidRPr="00F45067">
        <w:rPr>
          <w:lang w:val="en-US"/>
        </w:rPr>
        <w:t>„</w:t>
      </w:r>
      <w:r w:rsidR="002E10D5" w:rsidRPr="002E10D5">
        <w:rPr>
          <w:lang w:val="en-US"/>
        </w:rPr>
        <w:t>Idealism and the Critique of Identity Thinking</w:t>
      </w:r>
      <w:r w:rsidR="002E10D5">
        <w:rPr>
          <w:lang w:val="en-US"/>
        </w:rPr>
        <w:t>”</w:t>
      </w:r>
      <w:r w:rsidR="00F45067" w:rsidRPr="00F45067">
        <w:rPr>
          <w:lang w:val="en-US"/>
        </w:rPr>
        <w:t xml:space="preserve"> </w:t>
      </w:r>
      <w:r w:rsidR="00F45067">
        <w:rPr>
          <w:lang w:val="en-US"/>
        </w:rPr>
        <w:t>(</w:t>
      </w:r>
      <w:proofErr w:type="spellStart"/>
      <w:r w:rsidR="00F45067">
        <w:rPr>
          <w:lang w:val="en-US"/>
        </w:rPr>
        <w:t>Vortrag</w:t>
      </w:r>
      <w:proofErr w:type="spellEnd"/>
      <w:r w:rsidR="00F45067">
        <w:rPr>
          <w:lang w:val="en-US"/>
        </w:rPr>
        <w:t xml:space="preserve"> und </w:t>
      </w:r>
      <w:proofErr w:type="spellStart"/>
      <w:r w:rsidR="00F45067">
        <w:rPr>
          <w:lang w:val="en-US"/>
        </w:rPr>
        <w:t>Diskussion</w:t>
      </w:r>
      <w:proofErr w:type="spellEnd"/>
      <w:r w:rsidR="00F45067">
        <w:rPr>
          <w:lang w:val="en-US"/>
        </w:rPr>
        <w:t>)</w:t>
      </w:r>
    </w:p>
    <w:p w:rsidR="005A5A6B" w:rsidRPr="00F45067" w:rsidRDefault="005A5A6B" w:rsidP="005A5A6B">
      <w:pPr>
        <w:rPr>
          <w:b/>
          <w:bCs/>
          <w:lang w:val="en-US"/>
        </w:rPr>
      </w:pPr>
    </w:p>
    <w:p w:rsidR="00F45067" w:rsidRDefault="00F45067" w:rsidP="00F4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b/>
          <w:bCs/>
        </w:rPr>
      </w:pPr>
      <w:r>
        <w:rPr>
          <w:b/>
          <w:bCs/>
        </w:rPr>
        <w:t>Morphologie</w:t>
      </w:r>
    </w:p>
    <w:p w:rsidR="00F45067" w:rsidRDefault="005A5A6B" w:rsidP="003C552C">
      <w:pPr>
        <w:ind w:left="2127" w:hanging="2127"/>
      </w:pPr>
      <w:r>
        <w:rPr>
          <w:b/>
          <w:bCs/>
        </w:rPr>
        <w:t>23.01.</w:t>
      </w:r>
      <w:r>
        <w:tab/>
      </w:r>
      <w:r w:rsidR="00310FEF" w:rsidRPr="00F45067">
        <w:t>Buchpräsentation und Gespräch</w:t>
      </w:r>
      <w:r w:rsidR="00F45067">
        <w:t xml:space="preserve"> mit </w:t>
      </w:r>
      <w:r w:rsidR="00F45067" w:rsidRPr="00310FEF">
        <w:rPr>
          <w:b/>
          <w:bCs/>
        </w:rPr>
        <w:t xml:space="preserve">Federico </w:t>
      </w:r>
      <w:proofErr w:type="spellStart"/>
      <w:r w:rsidR="00F45067" w:rsidRPr="00310FEF">
        <w:rPr>
          <w:b/>
          <w:bCs/>
        </w:rPr>
        <w:t>Vercellone</w:t>
      </w:r>
      <w:proofErr w:type="spellEnd"/>
      <w:r w:rsidR="00F45067">
        <w:t xml:space="preserve"> und </w:t>
      </w:r>
    </w:p>
    <w:p w:rsidR="00F45067" w:rsidRDefault="00F45067" w:rsidP="00F45067">
      <w:pPr>
        <w:ind w:left="2127" w:hanging="2127"/>
        <w:rPr>
          <w:i/>
          <w:iCs/>
        </w:rPr>
      </w:pPr>
      <w:r w:rsidRPr="00F45067">
        <w:rPr>
          <w:b/>
          <w:bCs/>
        </w:rPr>
        <w:t>18:00 c.t.</w:t>
      </w:r>
      <w:r>
        <w:tab/>
      </w:r>
      <w:r w:rsidRPr="00310FEF">
        <w:rPr>
          <w:b/>
          <w:bCs/>
        </w:rPr>
        <w:t xml:space="preserve">Laura </w:t>
      </w:r>
      <w:proofErr w:type="spellStart"/>
      <w:r w:rsidRPr="00310FEF">
        <w:rPr>
          <w:b/>
          <w:bCs/>
        </w:rPr>
        <w:t>Follesa</w:t>
      </w:r>
      <w:proofErr w:type="spellEnd"/>
      <w:r>
        <w:t xml:space="preserve"> den Herausgeber*innen</w:t>
      </w:r>
      <w:r w:rsidR="00310FEF">
        <w:t xml:space="preserve"> </w:t>
      </w:r>
      <w:r>
        <w:t xml:space="preserve">von </w:t>
      </w:r>
      <w:r w:rsidR="003C552C" w:rsidRPr="00310FEF">
        <w:rPr>
          <w:i/>
          <w:iCs/>
        </w:rPr>
        <w:t xml:space="preserve">Bilddenken und </w:t>
      </w:r>
    </w:p>
    <w:p w:rsidR="005A5A6B" w:rsidRPr="00F45067" w:rsidRDefault="00F45067" w:rsidP="00F45067">
      <w:pPr>
        <w:ind w:left="2127" w:hanging="2127"/>
        <w:rPr>
          <w:i/>
          <w:iCs/>
        </w:rPr>
      </w:pPr>
      <w:r w:rsidRPr="00F45067">
        <w:rPr>
          <w:b/>
          <w:bCs/>
        </w:rPr>
        <w:t>J 32/102</w:t>
      </w:r>
      <w:r>
        <w:t xml:space="preserve"> </w:t>
      </w:r>
      <w:r>
        <w:tab/>
      </w:r>
      <w:r w:rsidR="003C552C" w:rsidRPr="00310FEF">
        <w:rPr>
          <w:i/>
          <w:iCs/>
        </w:rPr>
        <w:t>Morphologie</w:t>
      </w:r>
      <w:r w:rsidR="00310FEF" w:rsidRPr="00310FEF">
        <w:rPr>
          <w:i/>
          <w:iCs/>
        </w:rPr>
        <w:t>. Interdisziplinäre Studien über Form und Bilder im philosophischen und wissenschaftlichen Denken</w:t>
      </w:r>
      <w:r w:rsidR="00310FEF">
        <w:t xml:space="preserve"> </w:t>
      </w:r>
      <w:r>
        <w:t>(</w:t>
      </w:r>
      <w:r w:rsidR="00310FEF">
        <w:t>Berlin 2021</w:t>
      </w:r>
      <w:r>
        <w:t>)</w:t>
      </w:r>
      <w:r w:rsidR="00310FEF">
        <w:t xml:space="preserve">. </w:t>
      </w:r>
    </w:p>
    <w:p w:rsidR="005A5A6B" w:rsidRDefault="005A5A6B" w:rsidP="005A5A6B">
      <w:pPr>
        <w:rPr>
          <w:b/>
          <w:bCs/>
        </w:rPr>
      </w:pPr>
    </w:p>
    <w:p w:rsidR="00F45067" w:rsidRPr="00F45067" w:rsidRDefault="00F45067" w:rsidP="00F4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b/>
          <w:bCs/>
        </w:rPr>
      </w:pPr>
      <w:r w:rsidRPr="00F45067">
        <w:rPr>
          <w:b/>
          <w:bCs/>
        </w:rPr>
        <w:t>Projektpräsentation</w:t>
      </w:r>
      <w:r w:rsidR="002D3C33">
        <w:rPr>
          <w:b/>
          <w:bCs/>
        </w:rPr>
        <w:t>en</w:t>
      </w:r>
    </w:p>
    <w:p w:rsidR="005A5A6B" w:rsidRDefault="005A5A6B" w:rsidP="00F45067">
      <w:pPr>
        <w:ind w:left="2127" w:hanging="2127"/>
      </w:pPr>
      <w:r>
        <w:rPr>
          <w:b/>
          <w:bCs/>
        </w:rPr>
        <w:t>30.01.</w:t>
      </w:r>
      <w:r>
        <w:rPr>
          <w:b/>
          <w:bCs/>
        </w:rPr>
        <w:tab/>
      </w:r>
      <w:r w:rsidR="00310FEF" w:rsidRPr="00F45067">
        <w:rPr>
          <w:b/>
          <w:bCs/>
        </w:rPr>
        <w:t>Lilja Waliser</w:t>
      </w:r>
      <w:r w:rsidR="00310FEF">
        <w:t xml:space="preserve">, </w:t>
      </w:r>
      <w:r w:rsidR="00F45067" w:rsidRPr="00F45067">
        <w:t>"Kritik der souveränen Selbstnegation"</w:t>
      </w:r>
    </w:p>
    <w:p w:rsidR="00917DD2" w:rsidRPr="00225C9E" w:rsidRDefault="00917DD2" w:rsidP="00F45067">
      <w:pPr>
        <w:ind w:left="2127" w:hanging="2127"/>
        <w:rPr>
          <w:lang w:val="en-US"/>
        </w:rPr>
      </w:pPr>
      <w:r>
        <w:rPr>
          <w:b/>
          <w:bCs/>
        </w:rPr>
        <w:tab/>
      </w:r>
      <w:r w:rsidRPr="00225C9E">
        <w:rPr>
          <w:b/>
          <w:bCs/>
          <w:lang w:val="en-US"/>
        </w:rPr>
        <w:t>Mats</w:t>
      </w:r>
      <w:r w:rsidR="00BB07F0" w:rsidRPr="00225C9E">
        <w:rPr>
          <w:b/>
          <w:bCs/>
          <w:lang w:val="en-US"/>
        </w:rPr>
        <w:t xml:space="preserve"> </w:t>
      </w:r>
      <w:proofErr w:type="spellStart"/>
      <w:r w:rsidR="00BB07F0" w:rsidRPr="00225C9E">
        <w:rPr>
          <w:b/>
          <w:bCs/>
          <w:lang w:val="en-US"/>
        </w:rPr>
        <w:t>Dahllöv</w:t>
      </w:r>
      <w:proofErr w:type="spellEnd"/>
      <w:proofErr w:type="gramStart"/>
      <w:r w:rsidR="00BB07F0" w:rsidRPr="00225C9E">
        <w:rPr>
          <w:b/>
          <w:bCs/>
          <w:lang w:val="en-US"/>
        </w:rPr>
        <w:t xml:space="preserve">, </w:t>
      </w:r>
      <w:r w:rsidR="00225C9E" w:rsidRPr="00225C9E">
        <w:rPr>
          <w:lang w:val="en-US"/>
        </w:rPr>
        <w:t>”Why</w:t>
      </w:r>
      <w:proofErr w:type="gramEnd"/>
      <w:r w:rsidR="00225C9E" w:rsidRPr="00225C9E">
        <w:rPr>
          <w:lang w:val="en-US"/>
        </w:rPr>
        <w:t xml:space="preserve"> Absolute? Aesthetics and Metaphysics in Benjamin </w:t>
      </w:r>
      <w:proofErr w:type="spellStart"/>
      <w:r w:rsidR="00225C9E" w:rsidRPr="00225C9E">
        <w:rPr>
          <w:lang w:val="en-US"/>
        </w:rPr>
        <w:t>Höijer</w:t>
      </w:r>
      <w:proofErr w:type="spellEnd"/>
      <w:r w:rsidR="00225C9E" w:rsidRPr="00225C9E">
        <w:rPr>
          <w:lang w:val="en-US"/>
        </w:rPr>
        <w:t xml:space="preserve"> and F.W.J. Schelling”</w:t>
      </w:r>
    </w:p>
    <w:p w:rsidR="005A5A6B" w:rsidRPr="00225C9E" w:rsidRDefault="005A5A6B" w:rsidP="005A5A6B">
      <w:pPr>
        <w:rPr>
          <w:b/>
          <w:bCs/>
          <w:lang w:val="en-US"/>
        </w:rPr>
      </w:pPr>
    </w:p>
    <w:p w:rsidR="00F45067" w:rsidRPr="002E10D5" w:rsidRDefault="00F45067" w:rsidP="00F4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b/>
          <w:bCs/>
          <w:lang w:val="en-US"/>
        </w:rPr>
      </w:pPr>
      <w:proofErr w:type="spellStart"/>
      <w:r w:rsidRPr="002E10D5">
        <w:rPr>
          <w:b/>
          <w:bCs/>
          <w:lang w:val="en-US"/>
        </w:rPr>
        <w:t>Gastbeitrag</w:t>
      </w:r>
      <w:proofErr w:type="spellEnd"/>
    </w:p>
    <w:p w:rsidR="005A5A6B" w:rsidRPr="00F364DC" w:rsidRDefault="005A5A6B" w:rsidP="00F45067">
      <w:pPr>
        <w:ind w:left="2127" w:hanging="2127"/>
        <w:rPr>
          <w:lang w:val="en-US"/>
        </w:rPr>
      </w:pPr>
      <w:r w:rsidRPr="00F45067">
        <w:rPr>
          <w:b/>
          <w:bCs/>
          <w:lang w:val="en-US"/>
        </w:rPr>
        <w:t>06.02.</w:t>
      </w:r>
      <w:r w:rsidRPr="00F45067">
        <w:rPr>
          <w:b/>
          <w:bCs/>
          <w:lang w:val="en-US"/>
        </w:rPr>
        <w:tab/>
      </w:r>
      <w:r w:rsidR="00CA5212" w:rsidRPr="00F45067">
        <w:rPr>
          <w:b/>
          <w:bCs/>
          <w:lang w:val="en-US"/>
        </w:rPr>
        <w:t>Estelle Ferrarese</w:t>
      </w:r>
      <w:r w:rsidR="00310FEF" w:rsidRPr="00F45067">
        <w:rPr>
          <w:lang w:val="en-US"/>
        </w:rPr>
        <w:t xml:space="preserve">, </w:t>
      </w:r>
      <w:r w:rsidR="00F45067" w:rsidRPr="00F45067">
        <w:rPr>
          <w:lang w:val="en-US"/>
        </w:rPr>
        <w:t xml:space="preserve">"Virtue and commensurability. </w:t>
      </w:r>
      <w:r w:rsidR="00F45067" w:rsidRPr="002E10D5">
        <w:rPr>
          <w:lang w:val="en-US"/>
        </w:rPr>
        <w:t xml:space="preserve">On ethical consumption." </w:t>
      </w:r>
      <w:r w:rsidR="00F45067" w:rsidRPr="00F364DC">
        <w:rPr>
          <w:lang w:val="en-US"/>
        </w:rPr>
        <w:t>(</w:t>
      </w:r>
      <w:proofErr w:type="spellStart"/>
      <w:r w:rsidR="00F45067" w:rsidRPr="00F364DC">
        <w:rPr>
          <w:lang w:val="en-US"/>
        </w:rPr>
        <w:t>Lektüre</w:t>
      </w:r>
      <w:proofErr w:type="spellEnd"/>
      <w:r w:rsidR="00F45067" w:rsidRPr="00F364DC">
        <w:rPr>
          <w:lang w:val="en-US"/>
        </w:rPr>
        <w:t xml:space="preserve"> und </w:t>
      </w:r>
      <w:proofErr w:type="spellStart"/>
      <w:r w:rsidR="00F45067" w:rsidRPr="00F364DC">
        <w:rPr>
          <w:lang w:val="en-US"/>
        </w:rPr>
        <w:t>Diskussion</w:t>
      </w:r>
      <w:proofErr w:type="spellEnd"/>
      <w:r w:rsidR="00F45067" w:rsidRPr="00F364DC">
        <w:rPr>
          <w:lang w:val="en-US"/>
        </w:rPr>
        <w:t>)</w:t>
      </w:r>
    </w:p>
    <w:p w:rsidR="005A5A6B" w:rsidRPr="00F364DC" w:rsidRDefault="005A5A6B" w:rsidP="005A5A6B">
      <w:pPr>
        <w:rPr>
          <w:lang w:val="en-US"/>
        </w:rPr>
      </w:pPr>
    </w:p>
    <w:p w:rsidR="00F45067" w:rsidRPr="00F45067" w:rsidRDefault="00F45067" w:rsidP="00F4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b/>
          <w:bCs/>
        </w:rPr>
      </w:pPr>
      <w:r w:rsidRPr="00F45067">
        <w:rPr>
          <w:b/>
          <w:bCs/>
        </w:rPr>
        <w:lastRenderedPageBreak/>
        <w:t>Projektpräsentation</w:t>
      </w:r>
      <w:r w:rsidR="002D3C33">
        <w:rPr>
          <w:b/>
          <w:bCs/>
        </w:rPr>
        <w:t>en</w:t>
      </w:r>
    </w:p>
    <w:p w:rsidR="005A5A6B" w:rsidRPr="00496090" w:rsidRDefault="005A5A6B" w:rsidP="005A5A6B">
      <w:pPr>
        <w:ind w:left="2127" w:hanging="2127"/>
        <w:rPr>
          <w:lang w:val="en-US"/>
        </w:rPr>
      </w:pPr>
      <w:r w:rsidRPr="00D017D8">
        <w:rPr>
          <w:b/>
          <w:bCs/>
        </w:rPr>
        <w:t>13.02.</w:t>
      </w:r>
      <w:r w:rsidR="00917DD2">
        <w:rPr>
          <w:b/>
          <w:bCs/>
        </w:rPr>
        <w:tab/>
      </w:r>
      <w:r w:rsidR="00BE5DED" w:rsidRPr="00BE5DED">
        <w:rPr>
          <w:b/>
          <w:bCs/>
          <w:lang w:val="en-US"/>
        </w:rPr>
        <w:t>(</w:t>
      </w:r>
      <w:proofErr w:type="spellStart"/>
      <w:r w:rsidR="00BE5DED" w:rsidRPr="00BE5DED">
        <w:rPr>
          <w:b/>
          <w:bCs/>
          <w:lang w:val="en-US"/>
        </w:rPr>
        <w:t>s.</w:t>
      </w:r>
      <w:r w:rsidR="00BE5DED">
        <w:rPr>
          <w:b/>
          <w:bCs/>
          <w:lang w:val="en-US"/>
        </w:rPr>
        <w:t>t.</w:t>
      </w:r>
      <w:proofErr w:type="spellEnd"/>
      <w:r w:rsidR="00BE5DED">
        <w:rPr>
          <w:b/>
          <w:bCs/>
          <w:lang w:val="en-US"/>
        </w:rPr>
        <w:t xml:space="preserve">!) </w:t>
      </w:r>
      <w:r w:rsidR="00917DD2" w:rsidRPr="00496090">
        <w:rPr>
          <w:b/>
          <w:bCs/>
          <w:lang w:val="en-US"/>
        </w:rPr>
        <w:t xml:space="preserve">Elena </w:t>
      </w:r>
      <w:proofErr w:type="spellStart"/>
      <w:r w:rsidR="00BB07F0" w:rsidRPr="00496090">
        <w:rPr>
          <w:b/>
          <w:bCs/>
          <w:lang w:val="en-US"/>
        </w:rPr>
        <w:t>Romagnoli</w:t>
      </w:r>
      <w:proofErr w:type="spellEnd"/>
      <w:r w:rsidR="00BB07F0" w:rsidRPr="00496090">
        <w:rPr>
          <w:b/>
          <w:bCs/>
          <w:lang w:val="en-US"/>
        </w:rPr>
        <w:t xml:space="preserve">, </w:t>
      </w:r>
      <w:r w:rsidR="00496090" w:rsidRPr="00496090">
        <w:rPr>
          <w:lang w:val="en-US"/>
        </w:rPr>
        <w:t>„</w:t>
      </w:r>
      <w:r w:rsidR="002800FF" w:rsidRPr="00496090">
        <w:rPr>
          <w:lang w:val="en-US"/>
        </w:rPr>
        <w:t xml:space="preserve">Gadamer's performative aesthetics: between idealism and </w:t>
      </w:r>
      <w:proofErr w:type="gramStart"/>
      <w:r w:rsidR="002800FF" w:rsidRPr="00496090">
        <w:rPr>
          <w:lang w:val="en-US"/>
        </w:rPr>
        <w:t>pragmatism</w:t>
      </w:r>
      <w:r w:rsidR="00496090" w:rsidRPr="00496090">
        <w:rPr>
          <w:lang w:val="en-US"/>
        </w:rPr>
        <w:t>“</w:t>
      </w:r>
      <w:proofErr w:type="gramEnd"/>
    </w:p>
    <w:p w:rsidR="00496090" w:rsidRDefault="00917DD2" w:rsidP="00FA20C4">
      <w:pPr>
        <w:ind w:left="2127" w:hanging="2127"/>
        <w:rPr>
          <w:b/>
          <w:bCs/>
        </w:rPr>
      </w:pPr>
      <w:r w:rsidRPr="00496090">
        <w:rPr>
          <w:b/>
          <w:bCs/>
          <w:lang w:val="en-US"/>
        </w:rPr>
        <w:tab/>
      </w:r>
      <w:r>
        <w:rPr>
          <w:b/>
          <w:bCs/>
        </w:rPr>
        <w:t>Ben</w:t>
      </w:r>
      <w:r w:rsidR="00BB07F0">
        <w:rPr>
          <w:b/>
          <w:bCs/>
        </w:rPr>
        <w:t xml:space="preserve"> Seel, </w:t>
      </w:r>
      <w:r w:rsidR="00496090" w:rsidRPr="00496090">
        <w:t>„Es ist, als hätten sie Paris durch Angstbereitschaft gerettet.“ Surrealismus und die Verarbeitung des Schreckens.</w:t>
      </w:r>
    </w:p>
    <w:p w:rsidR="00FA20C4" w:rsidRPr="00496090" w:rsidRDefault="00FA20C4" w:rsidP="00496090">
      <w:pPr>
        <w:ind w:left="2127" w:hanging="3"/>
      </w:pPr>
      <w:r w:rsidRPr="00496090">
        <w:rPr>
          <w:b/>
          <w:bCs/>
        </w:rPr>
        <w:t xml:space="preserve">Romeo </w:t>
      </w:r>
      <w:proofErr w:type="spellStart"/>
      <w:r w:rsidRPr="00496090">
        <w:rPr>
          <w:b/>
          <w:bCs/>
        </w:rPr>
        <w:t>Bottiglia</w:t>
      </w:r>
      <w:proofErr w:type="spellEnd"/>
      <w:r w:rsidRPr="00496090">
        <w:rPr>
          <w:b/>
          <w:bCs/>
        </w:rPr>
        <w:t xml:space="preserve">, </w:t>
      </w:r>
      <w:r w:rsidR="00F364DC">
        <w:rPr>
          <w:b/>
          <w:bCs/>
        </w:rPr>
        <w:t>„</w:t>
      </w:r>
      <w:r w:rsidR="0020414D">
        <w:t>Das Nicht-Identische</w:t>
      </w:r>
      <w:r w:rsidR="00F364DC">
        <w:t xml:space="preserve"> in Adornos </w:t>
      </w:r>
      <w:r w:rsidR="00F364DC" w:rsidRPr="00F364DC">
        <w:rPr>
          <w:i/>
          <w:iCs/>
        </w:rPr>
        <w:t>Ästhetische Theorie</w:t>
      </w:r>
      <w:r w:rsidR="00F364DC">
        <w:t>“</w:t>
      </w:r>
    </w:p>
    <w:p w:rsidR="000E783D" w:rsidRPr="00FB4629" w:rsidRDefault="000E783D" w:rsidP="005A5A6B">
      <w:pPr>
        <w:ind w:left="2127" w:hanging="2127"/>
      </w:pPr>
    </w:p>
    <w:p w:rsidR="005A5A6B" w:rsidRPr="00D017D8" w:rsidRDefault="005A5A6B" w:rsidP="005A5A6B"/>
    <w:p w:rsidR="000438B8" w:rsidRDefault="000438B8"/>
    <w:sectPr w:rsidR="000438B8">
      <w:footerReference w:type="even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8669F" w:rsidRDefault="00A8669F" w:rsidP="00FB4629">
      <w:pPr>
        <w:spacing w:line="240" w:lineRule="auto"/>
      </w:pPr>
      <w:r>
        <w:separator/>
      </w:r>
    </w:p>
  </w:endnote>
  <w:endnote w:type="continuationSeparator" w:id="0">
    <w:p w:rsidR="00A8669F" w:rsidRDefault="00A8669F" w:rsidP="00FB46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1485278658"/>
      <w:docPartObj>
        <w:docPartGallery w:val="Page Numbers (Bottom of Page)"/>
        <w:docPartUnique/>
      </w:docPartObj>
    </w:sdtPr>
    <w:sdtContent>
      <w:p w:rsidR="00FB4629" w:rsidRDefault="00FB4629" w:rsidP="00B14269">
        <w:pPr>
          <w:pStyle w:val="Fuzeile"/>
          <w:framePr w:wrap="none" w:vAnchor="text" w:hAnchor="margin" w:xAlign="center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FB4629" w:rsidRDefault="00FB462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-1723129483"/>
      <w:docPartObj>
        <w:docPartGallery w:val="Page Numbers (Bottom of Page)"/>
        <w:docPartUnique/>
      </w:docPartObj>
    </w:sdtPr>
    <w:sdtContent>
      <w:p w:rsidR="00FB4629" w:rsidRDefault="00FB4629" w:rsidP="00B14269">
        <w:pPr>
          <w:pStyle w:val="Fuzeile"/>
          <w:framePr w:wrap="none" w:vAnchor="text" w:hAnchor="margin" w:xAlign="center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FB4629" w:rsidRDefault="00FB462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8669F" w:rsidRDefault="00A8669F" w:rsidP="00FB4629">
      <w:pPr>
        <w:spacing w:line="240" w:lineRule="auto"/>
      </w:pPr>
      <w:r>
        <w:separator/>
      </w:r>
    </w:p>
  </w:footnote>
  <w:footnote w:type="continuationSeparator" w:id="0">
    <w:p w:rsidR="00A8669F" w:rsidRDefault="00A8669F" w:rsidP="00FB462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6B"/>
    <w:rsid w:val="00011B15"/>
    <w:rsid w:val="00014A31"/>
    <w:rsid w:val="000438B8"/>
    <w:rsid w:val="000647BB"/>
    <w:rsid w:val="000E783D"/>
    <w:rsid w:val="00171C61"/>
    <w:rsid w:val="001C5B39"/>
    <w:rsid w:val="0020414D"/>
    <w:rsid w:val="00225C9E"/>
    <w:rsid w:val="00264E4D"/>
    <w:rsid w:val="002800FF"/>
    <w:rsid w:val="002D3C33"/>
    <w:rsid w:val="002E10D5"/>
    <w:rsid w:val="00310FEF"/>
    <w:rsid w:val="003C19EF"/>
    <w:rsid w:val="003C552C"/>
    <w:rsid w:val="00425565"/>
    <w:rsid w:val="004500AB"/>
    <w:rsid w:val="00496090"/>
    <w:rsid w:val="004D2BEB"/>
    <w:rsid w:val="004E0608"/>
    <w:rsid w:val="0051384F"/>
    <w:rsid w:val="00572B65"/>
    <w:rsid w:val="00591172"/>
    <w:rsid w:val="005A5A6B"/>
    <w:rsid w:val="005D7F89"/>
    <w:rsid w:val="00754B61"/>
    <w:rsid w:val="00902F0C"/>
    <w:rsid w:val="00917DD2"/>
    <w:rsid w:val="009D28F0"/>
    <w:rsid w:val="00A03ADE"/>
    <w:rsid w:val="00A8669F"/>
    <w:rsid w:val="00BA58D3"/>
    <w:rsid w:val="00BA6069"/>
    <w:rsid w:val="00BB07F0"/>
    <w:rsid w:val="00BE5DED"/>
    <w:rsid w:val="00CA5212"/>
    <w:rsid w:val="00D017D8"/>
    <w:rsid w:val="00ED402A"/>
    <w:rsid w:val="00F364DC"/>
    <w:rsid w:val="00F45067"/>
    <w:rsid w:val="00FA20C4"/>
    <w:rsid w:val="00FB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701D80"/>
  <w15:chartTrackingRefBased/>
  <w15:docId w15:val="{9C98A583-85B6-4A4E-ADA8-B5F3F20FB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A5A6B"/>
    <w:pPr>
      <w:suppressAutoHyphens/>
      <w:autoSpaceDN w:val="0"/>
      <w:spacing w:line="360" w:lineRule="auto"/>
    </w:pPr>
    <w:rPr>
      <w:rFonts w:ascii="Cambria" w:eastAsia="Arial Unicode MS" w:hAnsi="Cambria" w:cs="Calibri"/>
      <w:kern w:val="3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uiPriority w:val="99"/>
    <w:unhideWhenUsed/>
    <w:rsid w:val="00FB4629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B4629"/>
    <w:rPr>
      <w:rFonts w:ascii="Cambria" w:eastAsia="Arial Unicode MS" w:hAnsi="Cambria" w:cs="Calibri"/>
      <w:kern w:val="3"/>
      <w14:ligatures w14:val="none"/>
    </w:rPr>
  </w:style>
  <w:style w:type="character" w:styleId="Seitenzahl">
    <w:name w:val="page number"/>
    <w:basedOn w:val="Absatz-Standardschriftart"/>
    <w:uiPriority w:val="99"/>
    <w:semiHidden/>
    <w:unhideWhenUsed/>
    <w:rsid w:val="00FB4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5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6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4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529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Raimondi</dc:creator>
  <cp:keywords/>
  <dc:description/>
  <cp:lastModifiedBy>Raimondi, Francesca </cp:lastModifiedBy>
  <cp:revision>20</cp:revision>
  <cp:lastPrinted>2023-10-06T14:00:00Z</cp:lastPrinted>
  <dcterms:created xsi:type="dcterms:W3CDTF">2023-09-22T14:50:00Z</dcterms:created>
  <dcterms:modified xsi:type="dcterms:W3CDTF">2023-10-31T18:52:00Z</dcterms:modified>
</cp:coreProperties>
</file>