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005EB8"/>
          <w:sz w:val="28"/>
          <w:szCs w:val="28"/>
          <w:rFonts w:ascii="Arial" w:cs="Arial" w:eastAsia="Arial" w:hAnsi="Arial"/>
        </w:rPr>
        <w:t xml:space="preserve">HIGHBURY GRANGE MEDICAL PRACTICE</w:t>
      </w:r>
    </w:p>
    <w:p>
      <w:pPr>
        <w:spacing w:after="40"/>
        <w:jc w:val="center"/>
      </w:pPr>
      <w:r>
        <w:rPr>
          <w:b/>
          <w:bCs/>
          <w:color w:val="003087"/>
          <w:sz w:val="20"/>
          <w:szCs w:val="20"/>
          <w:rFonts w:ascii="Arial" w:cs="Arial" w:eastAsia="Arial" w:hAnsi="Arial"/>
        </w:rPr>
        <w:t xml:space="preserve">NHS Primary Care Centre • Dr Sarah Jenkins &amp; Partners</w:t>
      </w:r>
    </w:p>
    <w:p>
      <w:pPr>
        <w:spacing w:after="180"/>
        <w:jc w:val="center"/>
      </w:pPr>
      <w:r>
        <w:rPr>
          <w:color w:val="6C757D"/>
          <w:sz w:val="17"/>
          <w:szCs w:val="17"/>
          <w:rFonts w:ascii="Arial" w:cs="Arial" w:eastAsia="Arial" w:hAnsi="Arial"/>
        </w:rPr>
        <w:t xml:space="preserve">24 Highbury Grange, London N5 2TX • Tel: 020 7946 0411 • Practice Code: F83019 • ODS: A82041
secure-referrals.highbury@nhs.net</w:t>
      </w:r>
    </w:p>
    <w:p>
      <w:pPr>
        <w:spacing w:after="40"/>
      </w:pPr>
      <w:r>
        <w:rPr>
          <w:b/>
          <w:bCs/>
          <w:color w:val="003087"/>
          <w:sz w:val="22"/>
          <w:szCs w:val="22"/>
          <w:rFonts w:ascii="Arial" w:cs="Arial" w:eastAsia="Arial" w:hAnsi="Arial"/>
        </w:rPr>
        <w:t xml:space="preserve">PRIMARY CARE OPHTHALMIC REFERRAL &amp; ASSESSMENT REQUEST</w:t>
      </w:r>
    </w:p>
    <w:p>
      <w:pPr>
        <w:spacing w:after="160"/>
      </w:pPr>
      <w:r>
        <w:rPr>
          <w:i/>
          <w:iCs/>
          <w:color w:val="6C757D"/>
          <w:sz w:val="19"/>
          <w:szCs w:val="19"/>
          <w:rFonts w:ascii="Arial" w:cs="Arial" w:eastAsia="Arial" w:hAnsi="Arial"/>
        </w:rPr>
        <w:t xml:space="preserve">Referral to: Community Ophthalmic Practitioner / High Street Optometrist (GOS 18 Pathway)</w:t>
      </w:r>
    </w:p>
    <w:tbl>
      <w:tblPr>
        <w:tblW w:type="pct" w:w="100%"/>
        <w:tblBorders>
          <w:top w:val="single" w:color="CBD5E1" w:sz="4"/>
          <w:left w:val="none"/>
          <w:bottom w:val="single" w:color="CBD5E1" w:sz="4"/>
          <w:right w:val="none"/>
          <w:insideH w:val="single" w:color="E2E8F0" w:sz="4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  <w:rFonts w:ascii="Arial" w:cs="Arial" w:eastAsia="Arial" w:hAnsi="Arial"/>
              </w:rPr>
              <w:t xml:space="preserve">Patient Name: </w:t>
            </w:r>
            <w:r>
              <w:rPr>
                <w:b/>
                <w:bCs/>
                <w:color w:val="1A202C"/>
                <w:sz w:val="19"/>
                <w:szCs w:val="19"/>
                <w:rFonts w:ascii="Arial" w:cs="Arial" w:eastAsia="Arial" w:hAnsi="Arial"/>
              </w:rPr>
              <w:t xml:space="preserve"> Mrs Margaret Eileen TAYLOR</w:t>
            </w:r>
          </w:p>
        </w:tc>
        <w:tc>
          <w:tcPr>
            <w:tcW w:type="pct" w:w="50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  <w:rFonts w:ascii="Arial" w:cs="Arial" w:eastAsia="Arial" w:hAnsi="Arial"/>
              </w:rPr>
              <w:t xml:space="preserve">Date of Referral: </w:t>
            </w:r>
            <w:r>
              <w:rPr>
                <w:b w:val="false"/>
                <w:bCs w:val="false"/>
                <w:color w:val="1A202C"/>
                <w:sz w:val="19"/>
                <w:szCs w:val="19"/>
                <w:rFonts w:ascii="Arial" w:cs="Arial" w:eastAsia="Arial" w:hAnsi="Arial"/>
              </w:rPr>
              <w:t xml:space="preserve"> 09 September 2026</w:t>
            </w:r>
          </w:p>
        </w:tc>
      </w:tr>
      <w:tr>
        <w:tc>
          <w:tcPr>
            <w:tcW w:type="pct" w:w="50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  <w:rFonts w:ascii="Arial" w:cs="Arial" w:eastAsia="Arial" w:hAnsi="Arial"/>
              </w:rPr>
              <w:t xml:space="preserve">NHS Number: </w:t>
            </w:r>
            <w:r>
              <w:rPr>
                <w:b w:val="false"/>
                <w:bCs w:val="false"/>
                <w:color w:val="1A202C"/>
                <w:sz w:val="19"/>
                <w:szCs w:val="19"/>
                <w:rFonts w:ascii="Arial" w:cs="Arial" w:eastAsia="Arial" w:hAnsi="Arial"/>
              </w:rPr>
              <w:t xml:space="preserve"> 419 820 5410</w:t>
            </w:r>
          </w:p>
        </w:tc>
        <w:tc>
          <w:tcPr>
            <w:tcW w:type="pct" w:w="50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  <w:rFonts w:ascii="Arial" w:cs="Arial" w:eastAsia="Arial" w:hAnsi="Arial"/>
              </w:rPr>
              <w:t xml:space="preserve">Date of Birth: </w:t>
            </w:r>
            <w:r>
              <w:rPr>
                <w:b w:val="false"/>
                <w:bCs w:val="false"/>
                <w:color w:val="1A202C"/>
                <w:sz w:val="19"/>
                <w:szCs w:val="19"/>
                <w:rFonts w:ascii="Arial" w:cs="Arial" w:eastAsia="Arial" w:hAnsi="Arial"/>
              </w:rPr>
              <w:t xml:space="preserve"> 12 June 1972 (Age: 54)</w:t>
            </w:r>
          </w:p>
        </w:tc>
      </w:tr>
      <w:tr>
        <w:tc>
          <w:tcPr>
            <w:tcW w:type="pct" w:w="50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  <w:rFonts w:ascii="Arial" w:cs="Arial" w:eastAsia="Arial" w:hAnsi="Arial"/>
              </w:rPr>
              <w:t xml:space="preserve">Residential Address: </w:t>
            </w:r>
            <w:r>
              <w:rPr>
                <w:b w:val="false"/>
                <w:bCs w:val="false"/>
                <w:color w:val="1A202C"/>
                <w:sz w:val="19"/>
                <w:szCs w:val="19"/>
                <w:rFonts w:ascii="Arial" w:cs="Arial" w:eastAsia="Arial" w:hAnsi="Arial"/>
              </w:rPr>
              <w:t xml:space="preserve"> 31 Aubert Park, London, N5 1TL</w:t>
            </w:r>
          </w:p>
        </w:tc>
        <w:tc>
          <w:tcPr>
            <w:tcW w:type="pct" w:w="50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  <w:rFonts w:ascii="Arial" w:cs="Arial" w:eastAsia="Arial" w:hAnsi="Arial"/>
              </w:rPr>
              <w:t xml:space="preserve">Contact Number: </w:t>
            </w:r>
            <w:r>
              <w:rPr>
                <w:b w:val="false"/>
                <w:bCs w:val="false"/>
                <w:color w:val="1A202C"/>
                <w:sz w:val="19"/>
                <w:szCs w:val="19"/>
                <w:rFonts w:ascii="Arial" w:cs="Arial" w:eastAsia="Arial" w:hAnsi="Arial"/>
              </w:rPr>
              <w:t xml:space="preserve"> 07700 900418</w:t>
            </w:r>
          </w:p>
        </w:tc>
      </w:tr>
      <w:tr>
        <w:tc>
          <w:tcPr>
            <w:tcW w:type="pct" w:w="50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  <w:rFonts w:ascii="Arial" w:cs="Arial" w:eastAsia="Arial" w:hAnsi="Arial"/>
              </w:rPr>
              <w:t xml:space="preserve">Referring Clinician: </w:t>
            </w:r>
            <w:r>
              <w:rPr>
                <w:b/>
                <w:bCs/>
                <w:color w:val="1A202C"/>
                <w:sz w:val="19"/>
                <w:szCs w:val="19"/>
                <w:rFonts w:ascii="Arial" w:cs="Arial" w:eastAsia="Arial" w:hAnsi="Arial"/>
              </w:rPr>
              <w:t xml:space="preserve"> Dr Sarah Jenkins, MBChB, MRCGP</w:t>
            </w:r>
          </w:p>
        </w:tc>
        <w:tc>
          <w:tcPr>
            <w:tcW w:type="pct" w:w="50%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  <w:rFonts w:ascii="Arial" w:cs="Arial" w:eastAsia="Arial" w:hAnsi="Arial"/>
              </w:rPr>
              <w:t xml:space="preserve">Priority: </w:t>
            </w:r>
            <w:r>
              <w:rPr>
                <w:b w:val="false"/>
                <w:bCs w:val="false"/>
                <w:color w:val="1A202C"/>
                <w:sz w:val="19"/>
                <w:szCs w:val="19"/>
                <w:rFonts w:ascii="Arial" w:cs="Arial" w:eastAsia="Arial" w:hAnsi="Arial"/>
              </w:rPr>
              <w:t xml:space="preserve"> Routine Community Eye Exam</w:t>
            </w:r>
          </w:p>
        </w:tc>
      </w:tr>
    </w:tbl>
    <w:p>
      <w:pPr>
        <w:spacing w:before="140" w:after="100"/>
      </w:pPr>
    </w:p>
    <w:p>
      <w:pPr>
        <w:spacing w:after="100"/>
      </w:pPr>
      <w:r>
        <w:rPr>
          <w:b/>
          <w:bCs/>
          <w:sz w:val="20"/>
          <w:szCs w:val="20"/>
        </w:rPr>
        <w:t xml:space="preserve">Dear Colleague (Optometry / Primary Eye Care Team),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Re: Request for Comprehensive NHS Sight Test, Refraction &amp; Anterior/Posterior Eye Examination
</w:t>
      </w:r>
      <w:r>
        <w:t xml:space="preserve">I would be grateful if you could perform a formal sight test and ophthalmic examination for Mrs Margaret Eileen TAYLOR, a 54-year-old secondary school teacher who presented to our surgery with a 6-week history of gradual, bilateral visual blurriness primarily noticeable when reading, marking papers, and working at her laptop monitor.</w:t>
      </w:r>
    </w:p>
    <w:p>
      <w:pPr>
        <w:spacing w:before="160" w:after="60"/>
      </w:pPr>
      <w:r>
        <w:rPr>
          <w:b/>
          <w:bCs/>
          <w:color w:val="003087"/>
          <w:sz w:val="21"/>
          <w:szCs w:val="21"/>
        </w:rPr>
        <w:t xml:space="preserve">History of Presenting Complaint &amp; Visual Symptoms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Asthenopia &amp; Headaches: </w:t>
      </w:r>
      <w:r>
        <w:t xml:space="preserve">Reports bilateral frontal, dull aching headaches after sustained computer work and reading. Symptoms resolve following periods of visual rest.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Near Acuity Decline: </w:t>
      </w:r>
      <w:r>
        <w:t xml:space="preserve">Finds herself holding mobile devices and books at extended arm's length to achieve focus. Distance vision is subjectively stable.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Red Flag Screening (Negative): </w:t>
      </w:r>
      <w:r>
        <w:t xml:space="preserve">No reported episodes of amaurosis fugax, sudden visual drop, flashes (photopsia), new floaters, halos around headlights, eye pain, or diplopia.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Last Ophthalmic Review: </w:t>
      </w:r>
      <w:r>
        <w:t xml:space="preserve">Approximately 4 years ago (pre-existing single-vision distance spectacles worn only for driving; current correction feels inadequate).</w:t>
      </w:r>
    </w:p>
    <w:p>
      <w:pPr>
        <w:spacing w:before="160" w:after="60"/>
      </w:pPr>
      <w:r>
        <w:rPr>
          <w:b/>
          <w:bCs/>
          <w:color w:val="003087"/>
          <w:sz w:val="21"/>
          <w:szCs w:val="21"/>
        </w:rPr>
        <w:t xml:space="preserve">Relevant Medical History &amp; Systemic Medications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Essential Hypertension: </w:t>
      </w:r>
      <w:r>
        <w:t xml:space="preserve">Diagnosed 2021. Well controlled (Recent BP: 126/78 mmHg).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Type 2 Diabetes Screening: </w:t>
      </w:r>
      <w:r>
        <w:t xml:space="preserve">HbA1c checked June 2026 was 36 mmol/mol (Normal / Non-diabetic).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Current Prescriptions: </w:t>
      </w:r>
      <w:r>
        <w:t xml:space="preserve">Amlodipine 5 mg orally once daily. No concurrent topical eye drops or antimuscarinics.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Allergies: </w:t>
      </w:r>
      <w:r>
        <w:t xml:space="preserve">No Known Drug Allergies (NKDA).</w:t>
      </w:r>
    </w:p>
    <w:p>
      <w:pPr>
        <w:spacing w:before="160" w:after="60"/>
      </w:pPr>
      <w:r>
        <w:rPr>
          <w:b/>
          <w:bCs/>
          <w:color w:val="003087"/>
          <w:sz w:val="21"/>
          <w:szCs w:val="21"/>
        </w:rPr>
        <w:t xml:space="preserve">Specific Optometric Assessments Requested</w:t>
      </w:r>
    </w:p>
    <w:p>
      <w:pPr>
        <w:spacing w:after="60"/>
        <w:ind w:left="360"/>
      </w:pPr>
      <w:r>
        <w:t xml:space="preserve">1. Full subjective and objective refraction (evaluation for presbyopia / intermediate VDU correction).</w:t>
      </w:r>
    </w:p>
    <w:p>
      <w:pPr>
        <w:spacing w:after="60"/>
        <w:ind w:left="360"/>
      </w:pPr>
      <w:r>
        <w:t xml:space="preserve">2. Monocular and binocular visual acuity testing (unaided and best-corrected at 6m and near).</w:t>
      </w:r>
    </w:p>
    <w:p>
      <w:pPr>
        <w:spacing w:after="60"/>
        <w:ind w:left="360"/>
      </w:pPr>
      <w:r>
        <w:t xml:space="preserve">3. Slit-lamp biomicroscopy of anterior segments, cornea, and lens clarity (evaluate early lenticular changes).</w:t>
      </w:r>
    </w:p>
    <w:p>
      <w:pPr>
        <w:spacing w:after="60"/>
        <w:ind w:left="360"/>
      </w:pPr>
      <w:r>
        <w:t xml:space="preserve">4. Non-contact or Goldmann tonometry (baseline intraocular pressure measurement).</w:t>
      </w:r>
    </w:p>
    <w:p>
      <w:pPr>
        <w:spacing w:after="60"/>
        <w:ind w:left="360"/>
      </w:pPr>
      <w:r>
        <w:t xml:space="preserve">5. Fundus evaluation / Dilated fundoscopy (examination of optic nerve cup-to-disc ratio and macula).</w:t>
      </w:r>
    </w:p>
    <w:p>
      <w:pPr>
        <w:spacing w:after="120"/>
        <w:ind w:left="360"/>
      </w:pPr>
      <w:r>
        <w:t xml:space="preserve">6. Notification &amp; Escalation: If any ocular pathology is identified requiring secondary care (such as glaucoma suspect, macular degeneration, or significant cataract), please initiate a formal GOS 18 referral to the local Hospital Eye Service (Moorfields Eye Centre / Whittington Hospital).</w:t>
      </w:r>
    </w:p>
    <w:p>
      <w:pPr>
        <w:spacing w:before="200" w:after="40"/>
      </w:pPr>
      <w:r>
        <w:t xml:space="preserve">Yours sincerely,</w:t>
      </w:r>
    </w:p>
    <w:p>
      <w:pPr>
        <w:spacing w:after="30"/>
      </w:pPr>
      <w:r>
        <w:rPr>
          <w:b/>
          <w:bCs/>
          <w:sz w:val="21"/>
          <w:szCs w:val="21"/>
        </w:rPr>
        <w:t xml:space="preserve">Dr Sarah Jenkins, MBChB, MRCGP
</w:t>
      </w:r>
    </w:p>
    <w:p>
      <w:pPr>
        <w:spacing w:after="240"/>
      </w:pPr>
      <w:r>
        <w:rPr>
          <w:color w:val="6C757D"/>
          <w:sz w:val="18"/>
          <w:szCs w:val="18"/>
        </w:rPr>
        <w:t xml:space="preserve">General Practitioner (Partner)
GMC Registration No: 6189204
Highbury Grange Medical Practice, London N5 2TX</w:t>
      </w:r>
    </w:p>
    <w:p>
      <w:pPr>
        <w:spacing w:before="240"/>
        <w:jc w:val="center"/>
      </w:pPr>
      <w:r>
        <w:rPr>
          <w:i/>
          <w:iCs/>
          <w:color w:val="6C757D"/>
          <w:sz w:val="15"/>
          <w:szCs w:val="15"/>
        </w:rPr>
        <w:t xml:space="preserve">_____________________________________________________________________
SYNTHETIC MEDICAL TEST RECORD: Designed for health-tech NLP testing, automated referral extraction, and OCR document classification. Contains strictly synthetic patient data.</w:t>
      </w:r>
    </w:p>
    <w:sectPr>
      <w:pgSz w:w="11906" w:h="16838" w:orient="portrait"/>
      <w:pgMar w:top="1152" w:right="1224" w:bottom="1152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212529"/>
        <w:sz w:val="20"/>
        <w:szCs w:val="20"/>
        <w:rFonts w:ascii="Arial" w:cs="Arial" w:eastAsia="Arial" w:hAnsi="Arial"/>
      </w:rPr>
    </w:rPrDefault>
    <w:pPrDefault>
      <w:pPr>
        <w:spacing w:after="120"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2026-09-08T23:05:37.090Z</dcterms:created>
  <dcterms:modified xsi:type="dcterms:W3CDTF">2026-09-08T23:05:37.090Z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