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w:t>
      </w:r>
    </w:p>
    <w:p>
      <w:pPr>
        <w:pStyle w:val="Heading1"/>
        <w:jc w:val="left"/>
      </w:pPr>
      <w:r>
        <w:rPr>
          <w:b/>
          <w:color w:val="1A1A1A"/>
          <w:sz w:val="52"/>
        </w:rPr>
        <w:t>Temenos Transact operates on a robust n-tier architecture that distinctly separates its core layers: database, business logic, APIs, and user interface. This separation enhances modularity, scalability, and manageability, ensuring the system can efficiently handle complex banking operations.</w:t>
        <w:br/>
        <w:br/>
        <w:t>At the foundation, the database serves purely as a data repository without embedded business logic or stored procedures. It supports strong consistency, allowing multiple concurrent transactions while ensuring all users access the same accurate data simultaneously. This design promotes scalability and simplifies maintenance, with the underlying database engine managing scaling and automatic failover to maintain uptime.</w:t>
        <w:br/>
        <w:br/>
        <w:t>The business logic layer is implemented primarily in Java, with legacy code compiled into Java bytecode via the Temenos Application Framework for Java (TAFJ). This layer encompasses the core banking functionality, including modules like Arrangement Architecture for product engines, Customer, Limits, Payments, and General Ledger. The logic is parameter-driven, enabling extensive configuration without code changes, and incorporates validation checks to ensure transaction integrity.</w:t>
        <w:br/>
        <w:br/>
        <w:t>Communication with the core logic occurs through a proprietary messaging protocol called OFS (Open Financial Service), which can be accessed either via the Temenos Open Connectivity Framework (TOCF) using JMS/MQ queues for resilience or directly through Enterprise Java Beans (EJB) for lower latency.</w:t>
        <w:br/>
        <w:br/>
        <w:t>APIs are provided as RESTful services using JSON payloads, adhering to semantic versioning and documented with OpenAPI specifications. These APIs facilitate synchronous interactions and support extensibility through the Extensibility Framework and Java APIs. Event-based integration is also supported via business and data events, leveraging pub/sub systems like Kafka, Azure Event Hubs, or AWS Kinesis.</w:t>
        <w:br/>
        <w:br/>
        <w:t>The user interface consists of two main types: the auto-generated Transact Explorer for rapid back-office productivity and hand-crafted user agents built with Unified UX (UUX) for ergonomic, role-specific dashboards. Both interfaces are unified under Temenos Explorer, providing single sign-on and consistent look and feel.</w:t>
        <w:br/>
        <w:br/>
        <w:t>Overall, this layered architecture ensures that data storage, business logic, integration, and user interaction are cleanly separated, promoting flexibility, scalability, and ease of customization.</w:t>
        <w:br/>
        <w:br/>
        <w:t>The main business benefit of this architecture is its ability to provide banks with a highly scalable, flexible, and reliable core banking system that can be tailored to diverse operational needs while ensuring consistent data integrity and seamless integration across multiple channels. This empowers banks to innovate rapidly and deliver superior customer experiences.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Temenos Transact operates on a robust n-tier architecture that distinctly separates its core layers: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