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8BBDCC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Pr="59F793D9">
              <w:rPr>
                <w:rFonts w:ascii="Times New Roman" w:hAnsi="Times New Roman" w:cs="Times New Roman"/>
                <w:b/>
                <w:bCs/>
                <w:sz w:val="30"/>
                <w:szCs w:val="30"/>
              </w:rPr>
              <w:t>ACL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EB014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03F9767E" w:rsidR="00A5424A" w:rsidRDefault="59F793D9" w:rsidP="005C1307">
      <w:pPr>
        <w:pStyle w:val="ACL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*ACL  authors.    It  contains  instructions  for  using  the  </w:t>
      </w:r>
      <w:r w:rsidR="005C1307">
        <w:t>Microsoft Word template</w:t>
      </w:r>
      <w:r w:rsidR="005C1307" w:rsidRPr="005C1307">
        <w:t xml:space="preserve"> for ACL conferences.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2A5924A" w:rsidR="005C1307" w:rsidRDefault="005C1307" w:rsidP="005C1307">
      <w:pPr>
        <w:pStyle w:val="ACLTextFirstLine"/>
        <w:ind w:firstLine="0"/>
      </w:pPr>
      <w:r w:rsidRPr="005C1307">
        <w:t xml:space="preserve">These instructions are for authors submitting pa-pers to *ACL conferences 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0EF6C" w14:textId="77777777" w:rsidR="00341C4E" w:rsidRDefault="00341C4E" w:rsidP="00667A63">
      <w:pPr>
        <w:spacing w:after="0" w:line="240" w:lineRule="auto"/>
      </w:pPr>
      <w:r>
        <w:separator/>
      </w:r>
    </w:p>
    <w:p w14:paraId="79EDEEF4" w14:textId="77777777" w:rsidR="00341C4E" w:rsidRDefault="00341C4E"/>
  </w:endnote>
  <w:endnote w:type="continuationSeparator" w:id="0">
    <w:p w14:paraId="4B907B2F" w14:textId="77777777" w:rsidR="00341C4E" w:rsidRDefault="00341C4E" w:rsidP="00667A63">
      <w:pPr>
        <w:spacing w:after="0" w:line="240" w:lineRule="auto"/>
      </w:pPr>
      <w:r>
        <w:continuationSeparator/>
      </w:r>
    </w:p>
    <w:p w14:paraId="00D29CD5" w14:textId="77777777" w:rsidR="00341C4E" w:rsidRDefault="00341C4E"/>
    <w:p w14:paraId="2AD75A4B" w14:textId="77777777" w:rsidR="00341C4E" w:rsidRDefault="00341C4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690D5" w14:textId="77777777" w:rsidR="00341C4E" w:rsidRDefault="00341C4E" w:rsidP="00F422C2">
      <w:pPr>
        <w:spacing w:after="0" w:line="240" w:lineRule="auto"/>
        <w:contextualSpacing/>
      </w:pPr>
      <w:r>
        <w:separator/>
      </w:r>
    </w:p>
  </w:footnote>
  <w:footnote w:type="continuationSeparator" w:id="0">
    <w:p w14:paraId="5A7C9DF1" w14:textId="77777777" w:rsidR="00341C4E" w:rsidRDefault="00341C4E" w:rsidP="00667A63">
      <w:pPr>
        <w:spacing w:after="0" w:line="240" w:lineRule="auto"/>
      </w:pPr>
      <w:r>
        <w:continuationSeparator/>
      </w:r>
    </w:p>
    <w:p w14:paraId="79C40CC0" w14:textId="77777777" w:rsidR="00341C4E" w:rsidRDefault="00341C4E"/>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Matt Post</cp:lastModifiedBy>
  <cp:revision>6</cp:revision>
  <cp:lastPrinted>2020-10-19T23:49:00Z</cp:lastPrinted>
  <dcterms:created xsi:type="dcterms:W3CDTF">2020-10-19T23:51:00Z</dcterms:created>
  <dcterms:modified xsi:type="dcterms:W3CDTF">2020-10-22T18:27:00Z</dcterms:modified>
</cp:coreProperties>
</file>