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標楷體" w:hAnsi="標楷體" w:eastAsia="標楷體" w:hint="eastAsia"/>
          <w:b/>
          <w:color w:val="4472C4" w:themeColor="accent1"/>
          <w:sz w:val="20"/>
        </w:rPr>
        <w:t>虎尾國小學習教室_特需_【等你說完，我再說】</w:t>
      </w:r>
      <w:r>
        <w:rPr>
          <w:rFonts w:ascii="標楷體" w:hAnsi="標楷體" w:eastAsia="標楷體" w:hint="eastAsia"/>
          <w:b w:val="0"/>
          <w:color w:val="4472C4" w:themeColor="accent1"/>
          <w:sz w:val="20"/>
        </w:rPr>
        <w:t xml:space="preserve">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>姓名</w:t>
      </w:r>
      <w:r>
        <w:rPr>
          <w:rFonts w:ascii="標楷體" w:hAnsi="標楷體" w:eastAsia="標楷體" w:hint="eastAsia"/>
          <w:b w:val="0"/>
          <w:color w:val="000000"/>
          <w:sz w:val="24"/>
          <w:u w:val="single"/>
        </w:rPr>
        <w:t xml:space="preserve">  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 xml:space="preserve">  日期：_________</w:t>
      </w:r>
    </w:p>
    <w:p>
      <w:pPr>
        <w:spacing w:after="40" w:before="40"/>
        <w:jc w:val="center"/>
      </w:pPr>
      <w:r>
        <w:rPr>
          <w:rFonts w:ascii="微軟正黑體" w:hAnsi="微軟正黑體" w:eastAsia="微軟正黑體"/>
          <w:b/>
          <w:sz w:val="48"/>
        </w:rPr>
        <w:t>不插嘴學習單（A 圈選版）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855"/>
        <w:gridCol w:w="567"/>
        <w:gridCol w:w="2721"/>
      </w:tblGrid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4790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47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4790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47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4790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47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4790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47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嘴巴關　② 眼睛看　③ 耳朵聽　④ 再開口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哪一張圖是「等別人說完」？把它圈起來。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49"/>
        <w:gridCol w:w="680"/>
        <w:gridCol w:w="4649"/>
      </w:tblGrid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ho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r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gra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tear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k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一、連連看：①嘴巴關→第2張（嘴巴拉拉鍊）　②眼睛看→第4張（拿放大鏡看）　③耳朵聽→第1張（手放耳邊）　④再開口→第3張（舉手）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右邊（舉手等）　2 左邊（說完再說，大家開心）　3 右邊（等媽媽講完電話）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左右兩張都可以請學生說說看：「哪裡不一樣？小安的臉怎麼樣？」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三、我做到了：課堂演練或分享時間觀察後，師生一起塗星星。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對應課綱：特社2-Ⅱ-2、特社3-Ⅱ-1；特社B-Ⅱ-2、特社B-Ⅱ-3。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