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  <w:t>CODELANDCS BLOCKCHAIN DEVELOPMENT SYLLABUS</w:t>
      </w:r>
    </w:p>
    <w:p>
      <w:pP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  <w:t>WEEK 8</w:t>
      </w:r>
    </w:p>
    <w:p>
      <w:pP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  <w:t>DAY 3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INTRODUCTION ERC-20 TOKEN</w:t>
      </w:r>
    </w:p>
    <w:p>
      <w:pPr>
        <w:spacing w:line="360" w:lineRule="auto"/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Welcome to this lecture on ERC-20 tokens, one of the </w:t>
      </w: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most popular standards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 for </w:t>
      </w: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creating and managing digital assets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 on the Ethereum blockchain. In this lecture, we will explore the history and development of ERC-20 tokens, as well as their key features, benefits, and use cases.</w:t>
      </w:r>
    </w:p>
    <w:p>
      <w:pP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First, let's begin by discussing what ERC-20 tokens are and how they came to be. ERC-20 stands for </w:t>
      </w: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Ethereum Request for Comments 20,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 which is a technical standard for smart contracts on the Ethereum blockchain. This standard was proposed in November 2015 by </w:t>
      </w: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Fabian Vogelsteller,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 a developer in the Ethereum community, and was later adopted by the Ethereum Foundation.</w:t>
      </w:r>
    </w:p>
    <w:p>
      <w:pP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ERC-20 tokens are </w:t>
      </w: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digital assets that are created and managed using smart contracts on the Ethereum blockchain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>. These tokens have become increasingly popular over the years because they allow anyone to create their own unique digital asset and distribute it to a global audience, without the need for intermediaries such as banks or financial institutions.</w:t>
      </w:r>
    </w:p>
    <w:p>
      <w:pP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One of the key benefits of ERC-20 tokens is their </w:t>
      </w: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interoperability,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 meaning they can be </w:t>
      </w: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exchanged or traded with other ERC-20 tokens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 or any other compatible digital asset. This makes it easier for developers and users to create and interact with a wide range of decentralized applications, or dApps, that use ERC-20 tokens as their native currency.</w:t>
      </w:r>
    </w:p>
    <w:p>
      <w:pP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In addition, ERC-20 tokens have a number of other features that make them attractive to developers and users alike. These include the ability to </w:t>
      </w: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create custom token supply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>, set the token name and symbol, define the number of decimal places, and set other parameters that can be used to control the token's behavior and functionality.</w:t>
      </w:r>
    </w:p>
    <w:p>
      <w:pP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>However, with the popularity of ERC-20 tokens also comes a number of challenges and risks. These include the potential for scams and fraudulent activities, as well as issues related to token security, governance, and regulatory compliance.</w:t>
      </w:r>
    </w:p>
    <w:p>
      <w:pP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Throughout this lecture, we will explore these topics in more detail and provide you with a comprehensive understanding of ERC-20 tokens and their role in the digital asset ecosystem. We will also discuss some of the most notable use cases of ERC-20 tokens, such as </w:t>
      </w: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ICOs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 (Initial Coin Offerings), </w:t>
      </w: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stablecoins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 xml:space="preserve">, and </w:t>
      </w:r>
      <w: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  <w:t>governance tokens</w:t>
      </w: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>.</w:t>
      </w:r>
    </w:p>
    <w:p>
      <w:pPr>
        <w:rPr>
          <w:rFonts w:hint="default" w:ascii="Times New Roman Regular" w:hAnsi="Times New Roman Regular"/>
          <w:b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/>
          <w:sz w:val="28"/>
          <w:szCs w:val="28"/>
          <w:lang w:val="en-US"/>
        </w:rPr>
        <w:t>By the end of this lecture, you will have a solid understanding of ERC-20 tokens and be able to apply this knowledge to your own blockchain projects or investment decisions. So, let's dive in and explore the exciting world of ERC-20 tokens!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251A"/>
    <w:rsid w:val="FE7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2023-04-24T15:04:00Z</dcterms:created>
  <dc:creator>George Chukwuebuka</dc:creator>
  <cp:lastModifiedBy>George Chukwuebuka</cp:lastModifiedBy>
  <dcterms:modified xsi:type="dcterms:W3CDTF">2023-04-24T15:28:21Z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