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r>
        <w:t xml:space="preserve"/>
      </w:r>
    </w:p>
    <w:p>
      <w:pPr>
        <w:spacing w:after="120"/>
      </w:pPr>
      <w:r>
        <w:rPr>
          <w:b/>
          <w:bCs/>
          <w:color w:val="595959"/>
          <w:spacing w:val="40"/>
          <w:sz w:val="19"/>
          <w:szCs w:val="19"/>
        </w:rPr>
        <w:t xml:space="preserve">SWARMCHESTRATE  ·  OPTIMUSDB  ·  IDENTITY</w:t>
      </w:r>
    </w:p>
    <w:p>
      <w:pPr>
        <w:pBdr>
          <w:bottom w:val="single" w:color="1A1A1A" w:sz="8"/>
        </w:pBdr>
        <w:spacing w:after="200"/>
      </w:pPr>
      <w:r>
        <w:t xml:space="preserve"/>
      </w:r>
    </w:p>
    <w:p>
      <w:pPr>
        <w:spacing w:after="240" w:line="640" w:lineRule="exact"/>
      </w:pPr>
      <w:r>
        <w:rPr>
          <w:b/>
          <w:bCs/>
          <w:color w:val="1A1A1A"/>
          <w:sz w:val="52"/>
          <w:szCs w:val="52"/>
        </w:rPr>
        <w:t xml:space="preserve">optimusIssuer — Design, Security and Operations</w:t>
      </w:r>
    </w:p>
    <w:p>
      <w:pPr>
        <w:spacing w:after="700"/>
      </w:pPr>
      <w:r>
        <w:rPr>
          <w:color w:val="595959"/>
          <w:sz w:val="24"/>
          <w:szCs w:val="24"/>
        </w:rPr>
        <w:t xml:space="preserve">The credential issuance service for the OptimusDB swarm: its architecture, the two-tier key model, the key ceremony, the API and operator interface, deployment, operations and federation.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cantSplit/>
        </w:trPr>
        <w:tc>
          <w:tcPr>
            <w:tcW w:type="dxa" w:w="2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Document</w:t>
            </w:r>
          </w:p>
        </w:tc>
        <w:tc>
          <w:tcPr>
            <w:tcW w:type="dxa" w:w="711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optimusIssuer Design, Security and Operations</w:t>
            </w:r>
          </w:p>
        </w:tc>
      </w:tr>
      <w:tr>
        <w:trPr>
          <w:cantSplit/>
        </w:trPr>
        <w:tc>
          <w:tcPr>
            <w:tcW w:type="dxa" w:w="2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Version</w:t>
            </w:r>
          </w:p>
        </w:tc>
        <w:tc>
          <w:tcPr>
            <w:tcW w:type="dxa" w:w="711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1.0 — for review</w:t>
            </w:r>
          </w:p>
        </w:tc>
      </w:tr>
      <w:tr>
        <w:trPr>
          <w:cantSplit/>
        </w:trPr>
        <w:tc>
          <w:tcPr>
            <w:tcW w:type="dxa" w:w="2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Status</w:t>
            </w:r>
          </w:p>
        </w:tc>
        <w:tc>
          <w:tcPr>
            <w:tcW w:type="dxa" w:w="711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Draft</w:t>
            </w:r>
          </w:p>
        </w:tc>
      </w:tr>
      <w:tr>
        <w:trPr>
          <w:cantSplit/>
        </w:trPr>
        <w:tc>
          <w:tcPr>
            <w:tcW w:type="dxa" w:w="2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Date</w:t>
            </w:r>
          </w:p>
        </w:tc>
        <w:tc>
          <w:tcPr>
            <w:tcW w:type="dxa" w:w="711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17 September 2026</w:t>
            </w:r>
          </w:p>
        </w:tc>
      </w:tr>
      <w:tr>
        <w:trPr>
          <w:cantSplit/>
        </w:trPr>
        <w:tc>
          <w:tcPr>
            <w:tcW w:type="dxa" w:w="2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Project</w:t>
            </w:r>
          </w:p>
        </w:tc>
        <w:tc>
          <w:tcPr>
            <w:tcW w:type="dxa" w:w="711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Swarmchestrate, EU Horizon Europe Grant Agreement 101135012</w:t>
            </w:r>
          </w:p>
        </w:tc>
      </w:tr>
      <w:tr>
        <w:trPr>
          <w:cantSplit/>
        </w:trPr>
        <w:tc>
          <w:tcPr>
            <w:tcW w:type="dxa" w:w="2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Institution</w:t>
            </w:r>
          </w:p>
        </w:tc>
        <w:tc>
          <w:tcPr>
            <w:tcW w:type="dxa" w:w="711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Institute of Communication and Computer Systems (ICCS)</w:t>
            </w:r>
          </w:p>
        </w:tc>
      </w:tr>
      <w:tr>
        <w:trPr>
          <w:cantSplit/>
        </w:trPr>
        <w:tc>
          <w:tcPr>
            <w:tcW w:type="dxa" w:w="2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Component</w:t>
            </w:r>
          </w:p>
        </w:tc>
        <w:tc>
          <w:tcPr>
            <w:tcW w:type="dxa" w:w="711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optimusIssuer 1.0.0 — Go 1.21, React 18</w:t>
            </w:r>
          </w:p>
        </w:tc>
      </w:tr>
      <w:tr>
        <w:trPr>
          <w:cantSplit/>
        </w:trPr>
        <w:tc>
          <w:tcPr>
            <w:tcW w:type="dxa" w:w="2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Relates to</w:t>
            </w:r>
          </w:p>
        </w:tc>
        <w:tc>
          <w:tcPr>
            <w:tcW w:type="dxa" w:w="711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OptimusDB Decentralized AAA Design Specification v1.0</w:t>
            </w:r>
          </w:p>
        </w:tc>
      </w:tr>
    </w:tbl>
    <w:p>
      <w:pPr>
        <w:spacing w:after="140" w:line="276"/>
      </w:pPr>
      <w:r>
        <w:rPr>
          <w:color w:val="1A1A1A"/>
          <w:sz w:val="21"/>
          <w:szCs w:val="21"/>
        </w:rPr>
        <w:t xml:space="preserve"/>
      </w:r>
    </w:p>
    <w:p>
      <w:r>
        <w:br w:type="page"/>
      </w:r>
    </w:p>
    <w:p>
      <w:pPr>
        <w:pStyle w:val="Heading1"/>
        <w:spacing w:after="200" w:before="400"/>
      </w:pPr>
      <w:r>
        <w:rPr>
          <w:b/>
          <w:bCs/>
          <w:color w:val="1A1A1A"/>
          <w:sz w:val="34"/>
          <w:szCs w:val="34"/>
        </w:rPr>
        <w:t xml:space="preserve">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8611"/>
      </w:tblGrid>
      <w:tr>
        <w:trPr>
          <w:cantSplit/>
        </w:trPr>
        <w:tc>
          <w:tcPr>
            <w:tcW w:type="dxa" w:w="74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1</w:t>
            </w:r>
          </w:p>
        </w:tc>
        <w:tc>
          <w:tcPr>
            <w:tcW w:type="dxa" w:w="861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Purpose and summary</w:t>
            </w:r>
          </w:p>
        </w:tc>
      </w:tr>
      <w:tr>
        <w:trPr>
          <w:cantSplit/>
        </w:trPr>
        <w:tc>
          <w:tcPr>
            <w:tcW w:type="dxa" w:w="74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2</w:t>
            </w:r>
          </w:p>
        </w:tc>
        <w:tc>
          <w:tcPr>
            <w:tcW w:type="dxa" w:w="861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Placement</w:t>
            </w:r>
          </w:p>
        </w:tc>
      </w:tr>
      <w:tr>
        <w:trPr>
          <w:cantSplit/>
        </w:trPr>
        <w:tc>
          <w:tcPr>
            <w:tcW w:type="dxa" w:w="74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3</w:t>
            </w:r>
          </w:p>
        </w:tc>
        <w:tc>
          <w:tcPr>
            <w:tcW w:type="dxa" w:w="861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Architecture</w:t>
            </w:r>
          </w:p>
        </w:tc>
      </w:tr>
      <w:tr>
        <w:trPr>
          <w:cantSplit/>
        </w:trPr>
        <w:tc>
          <w:tcPr>
            <w:tcW w:type="dxa" w:w="74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4</w:t>
            </w:r>
          </w:p>
        </w:tc>
        <w:tc>
          <w:tcPr>
            <w:tcW w:type="dxa" w:w="861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The credential model, as this service implements it</w:t>
            </w:r>
          </w:p>
        </w:tc>
      </w:tr>
      <w:tr>
        <w:trPr>
          <w:cantSplit/>
        </w:trPr>
        <w:tc>
          <w:tcPr>
            <w:tcW w:type="dxa" w:w="74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5</w:t>
            </w:r>
          </w:p>
        </w:tc>
        <w:tc>
          <w:tcPr>
            <w:tcW w:type="dxa" w:w="861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Key architecture</w:t>
            </w:r>
          </w:p>
        </w:tc>
      </w:tr>
      <w:tr>
        <w:trPr>
          <w:cantSplit/>
        </w:trPr>
        <w:tc>
          <w:tcPr>
            <w:tcW w:type="dxa" w:w="74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6</w:t>
            </w:r>
          </w:p>
        </w:tc>
        <w:tc>
          <w:tcPr>
            <w:tcW w:type="dxa" w:w="861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Security</w:t>
            </w:r>
          </w:p>
        </w:tc>
      </w:tr>
      <w:tr>
        <w:trPr>
          <w:cantSplit/>
        </w:trPr>
        <w:tc>
          <w:tcPr>
            <w:tcW w:type="dxa" w:w="74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7</w:t>
            </w:r>
          </w:p>
        </w:tc>
        <w:tc>
          <w:tcPr>
            <w:tcW w:type="dxa" w:w="861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API reference</w:t>
            </w:r>
          </w:p>
        </w:tc>
      </w:tr>
      <w:tr>
        <w:trPr>
          <w:cantSplit/>
        </w:trPr>
        <w:tc>
          <w:tcPr>
            <w:tcW w:type="dxa" w:w="74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8</w:t>
            </w:r>
          </w:p>
        </w:tc>
        <w:tc>
          <w:tcPr>
            <w:tcW w:type="dxa" w:w="861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The operator interface</w:t>
            </w:r>
          </w:p>
        </w:tc>
      </w:tr>
      <w:tr>
        <w:trPr>
          <w:cantSplit/>
        </w:trPr>
        <w:tc>
          <w:tcPr>
            <w:tcW w:type="dxa" w:w="74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9</w:t>
            </w:r>
          </w:p>
        </w:tc>
        <w:tc>
          <w:tcPr>
            <w:tcW w:type="dxa" w:w="861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The key ceremony</w:t>
            </w:r>
          </w:p>
        </w:tc>
      </w:tr>
      <w:tr>
        <w:trPr>
          <w:cantSplit/>
        </w:trPr>
        <w:tc>
          <w:tcPr>
            <w:tcW w:type="dxa" w:w="74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10</w:t>
            </w:r>
          </w:p>
        </w:tc>
        <w:tc>
          <w:tcPr>
            <w:tcW w:type="dxa" w:w="861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Deployment</w:t>
            </w:r>
          </w:p>
        </w:tc>
      </w:tr>
      <w:tr>
        <w:trPr>
          <w:cantSplit/>
        </w:trPr>
        <w:tc>
          <w:tcPr>
            <w:tcW w:type="dxa" w:w="74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11</w:t>
            </w:r>
          </w:p>
        </w:tc>
        <w:tc>
          <w:tcPr>
            <w:tcW w:type="dxa" w:w="861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Operations</w:t>
            </w:r>
          </w:p>
        </w:tc>
      </w:tr>
      <w:tr>
        <w:trPr>
          <w:cantSplit/>
        </w:trPr>
        <w:tc>
          <w:tcPr>
            <w:tcW w:type="dxa" w:w="74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12</w:t>
            </w:r>
          </w:p>
        </w:tc>
        <w:tc>
          <w:tcPr>
            <w:tcW w:type="dxa" w:w="861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Federation</w:t>
            </w:r>
          </w:p>
        </w:tc>
      </w:tr>
      <w:tr>
        <w:trPr>
          <w:cantSplit/>
        </w:trPr>
        <w:tc>
          <w:tcPr>
            <w:tcW w:type="dxa" w:w="74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13</w:t>
            </w:r>
          </w:p>
        </w:tc>
        <w:tc>
          <w:tcPr>
            <w:tcW w:type="dxa" w:w="861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Development and testing</w:t>
            </w:r>
          </w:p>
        </w:tc>
      </w:tr>
      <w:tr>
        <w:trPr>
          <w:cantSplit/>
        </w:trPr>
        <w:tc>
          <w:tcPr>
            <w:tcW w:type="dxa" w:w="74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A</w:t>
            </w:r>
          </w:p>
        </w:tc>
        <w:tc>
          <w:tcPr>
            <w:tcW w:type="dxa" w:w="861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Configuration reference</w:t>
            </w:r>
          </w:p>
        </w:tc>
      </w:tr>
      <w:tr>
        <w:trPr>
          <w:cantSplit/>
        </w:trPr>
        <w:tc>
          <w:tcPr>
            <w:tcW w:type="dxa" w:w="74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B</w:t>
            </w:r>
          </w:p>
        </w:tc>
        <w:tc>
          <w:tcPr>
            <w:tcW w:type="dxa" w:w="861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Store records</w:t>
            </w:r>
          </w:p>
        </w:tc>
      </w:tr>
      <w:tr>
        <w:trPr>
          <w:cantSplit/>
        </w:trPr>
        <w:tc>
          <w:tcPr>
            <w:tcW w:type="dxa" w:w="74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C</w:t>
            </w:r>
          </w:p>
        </w:tc>
        <w:tc>
          <w:tcPr>
            <w:tcW w:type="dxa" w:w="861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issuerctl reference</w:t>
            </w:r>
          </w:p>
        </w:tc>
      </w:tr>
      <w:tr>
        <w:trPr>
          <w:cantSplit/>
        </w:trPr>
        <w:tc>
          <w:tcPr>
            <w:tcW w:type="dxa" w:w="74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D</w:t>
            </w:r>
          </w:p>
        </w:tc>
        <w:tc>
          <w:tcPr>
            <w:tcW w:type="dxa" w:w="861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Repository layout</w:t>
            </w:r>
          </w:p>
        </w:tc>
      </w:tr>
      <w:tr>
        <w:trPr>
          <w:cantSplit/>
        </w:trPr>
        <w:tc>
          <w:tcPr>
            <w:tcW w:type="dxa" w:w="74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E</w:t>
            </w:r>
          </w:p>
        </w:tc>
        <w:tc>
          <w:tcPr>
            <w:tcW w:type="dxa" w:w="861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Glossary</w:t>
            </w:r>
          </w:p>
        </w:tc>
      </w:tr>
    </w:tbl>
    <w:p>
      <w:pPr>
        <w:spacing w:after="140" w:line="276"/>
      </w:pPr>
      <w:r>
        <w:rPr>
          <w:color w:val="1A1A1A"/>
          <w:sz w:val="21"/>
          <w:szCs w:val="21"/>
        </w:rPr>
        <w:t xml:space="preserve"/>
      </w:r>
    </w:p>
    <w:p>
      <w:r>
        <w:br w:type="page"/>
      </w:r>
    </w:p>
    <w:p>
      <w:pPr>
        <w:pStyle w:val="Heading1"/>
        <w:spacing w:after="200" w:before="400"/>
      </w:pPr>
      <w:r>
        <w:rPr>
          <w:b/>
          <w:bCs/>
          <w:color w:val="1A1A1A"/>
          <w:sz w:val="34"/>
          <w:szCs w:val="34"/>
        </w:rPr>
        <w:t xml:space="preserve">1  Purpose and summary</w:t>
      </w:r>
    </w:p>
    <w:p>
      <w:pPr>
        <w:spacing w:after="140" w:line="276"/>
      </w:pPr>
      <w:r>
        <w:rPr>
          <w:color w:val="1A1A1A"/>
          <w:sz w:val="21"/>
          <w:szCs w:val="21"/>
        </w:rPr>
        <w:t xml:space="preserve">OptimusDB agents authenticate callers by verifying W3C Verifiable Credentials locally. No authority is contacted when a request arrives: the agent decodes a public key out of the caller's identifier, checks two signatures and consults a trust list it already holds. That is what allows an agent to keep working while partitioned from everything else.</w:t>
      </w:r>
    </w:p>
    <w:p>
      <w:pPr>
        <w:spacing w:after="140" w:line="276"/>
      </w:pPr>
      <w:r>
        <w:rPr>
          <w:color w:val="1A1A1A"/>
          <w:sz w:val="21"/>
          <w:szCs w:val="21"/>
        </w:rPr>
        <w:t xml:space="preserve">Something, however, has to sign those credentials. optimusIssuer is that something — a small Go service with a React interface, holding one Ed25519 key and a set of policies about what it will grant. It is deliberately the only component that touches issuer private key material, and deliberately the only one that is not required for an agent to verify anything.</w:t>
      </w:r>
    </w:p>
    <w:p>
      <w:pPr>
        <w:pStyle w:val="Heading2"/>
        <w:spacing w:after="140" w:before="320"/>
      </w:pPr>
      <w:r>
        <w:rPr>
          <w:b/>
          <w:bCs/>
          <w:color w:val="1A1A1A"/>
          <w:sz w:val="26"/>
          <w:szCs w:val="26"/>
        </w:rPr>
        <w:t xml:space="preserve">1.1  What it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Property</w:t>
            </w:r>
          </w:p>
        </w:tc>
        <w:tc>
          <w:tcPr>
            <w:tcW w:type="dxa" w:w="655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Value</w:t>
            </w:r>
          </w:p>
        </w:tc>
      </w:tr>
      <w:tr>
        <w:trPr>
          <w:cantSplit/>
        </w:trPr>
        <w:tc>
          <w:tcPr>
            <w:tcW w:type="dxa" w:w="28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Form</w:t>
            </w:r>
          </w:p>
        </w:tc>
        <w:tc>
          <w:tcPr>
            <w:tcW w:type="dxa" w:w="65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One Kubernetes Deployment, one replica</w:t>
            </w:r>
          </w:p>
        </w:tc>
      </w:tr>
      <w:tr>
        <w:trPr>
          <w:cantSplit/>
        </w:trPr>
        <w:tc>
          <w:tcPr>
            <w:tcW w:type="dxa" w:w="28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Language</w:t>
            </w:r>
          </w:p>
        </w:tc>
        <w:tc>
          <w:tcPr>
            <w:tcW w:type="dxa" w:w="65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Go 1.21 backend, React 18 single-page interface</w:t>
            </w:r>
          </w:p>
        </w:tc>
      </w:tr>
      <w:tr>
        <w:trPr>
          <w:cantSplit/>
        </w:trPr>
        <w:tc>
          <w:tcPr>
            <w:tcW w:type="dxa" w:w="28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Interface delivery</w:t>
            </w:r>
          </w:p>
        </w:tc>
        <w:tc>
          <w:tcPr>
            <w:tcW w:type="dxa" w:w="65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Built by Vite and embedded into the Go binary; the runtime image is one static executable</w:t>
            </w:r>
          </w:p>
        </w:tc>
      </w:tr>
      <w:tr>
        <w:trPr>
          <w:cantSplit/>
        </w:trPr>
        <w:tc>
          <w:tcPr>
            <w:tcW w:type="dxa" w:w="28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Persistence</w:t>
            </w:r>
          </w:p>
        </w:tc>
        <w:tc>
          <w:tcPr>
            <w:tcW w:type="dxa" w:w="65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None of its own. Records are written to OptimusDB stores</w:t>
            </w:r>
          </w:p>
        </w:tc>
      </w:tr>
      <w:tr>
        <w:trPr>
          <w:cantSplit/>
        </w:trPr>
        <w:tc>
          <w:tcPr>
            <w:tcW w:type="dxa" w:w="28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Operator authentication</w:t>
            </w:r>
          </w:p>
        </w:tc>
        <w:tc>
          <w:tcPr>
            <w:tcW w:type="dxa" w:w="65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Keycloak OIDC, the existing optimusddc realm</w:t>
            </w:r>
          </w:p>
        </w:tc>
      </w:tr>
      <w:tr>
        <w:trPr>
          <w:cantSplit/>
        </w:trPr>
        <w:tc>
          <w:tcPr>
            <w:tcW w:type="dxa" w:w="28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On the agent request path</w:t>
            </w:r>
          </w:p>
        </w:tc>
        <w:tc>
          <w:tcPr>
            <w:tcW w:type="dxa" w:w="65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No. Agents never contact it</w:t>
            </w:r>
          </w:p>
        </w:tc>
      </w:tr>
      <w:tr>
        <w:trPr>
          <w:cantSplit/>
        </w:trPr>
        <w:tc>
          <w:tcPr>
            <w:tcW w:type="dxa" w:w="28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Availability requirement</w:t>
            </w:r>
          </w:p>
        </w:tc>
        <w:tc>
          <w:tcPr>
            <w:tcW w:type="dxa" w:w="655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Only for onboarding. Existing credentials are unaffected by an outage</w:t>
            </w:r>
          </w:p>
        </w:tc>
      </w:tr>
    </w:tbl>
    <w:p>
      <w:pPr>
        <w:spacing w:after="220" w:line="276"/>
      </w:pPr>
      <w:r>
        <w:rPr>
          <w:i/>
          <w:iCs/>
          <w:color w:val="595959"/>
          <w:sz w:val="17"/>
          <w:szCs w:val="17"/>
        </w:rPr>
        <w:t xml:space="preserve">Table 1.1 — optimusIssuer at a glance</w:t>
      </w:r>
    </w:p>
    <w:p>
      <w:pPr>
        <w:pStyle w:val="Heading2"/>
        <w:spacing w:after="140" w:before="320"/>
      </w:pPr>
      <w:r>
        <w:rPr>
          <w:b/>
          <w:bCs/>
          <w:color w:val="1A1A1A"/>
          <w:sz w:val="26"/>
          <w:szCs w:val="26"/>
        </w:rPr>
        <w:t xml:space="preserve">1.2  Why it exists as a separate project</w:t>
      </w:r>
    </w:p>
    <w:p>
      <w:pPr>
        <w:spacing w:after="140" w:line="276"/>
      </w:pPr>
      <w:r>
        <w:rPr>
          <w:color w:val="1A1A1A"/>
          <w:sz w:val="21"/>
          <w:szCs w:val="21"/>
        </w:rPr>
        <w:t xml:space="preserve">Three reasons, in order of weight.</w:t>
      </w:r>
    </w:p>
    <w:p>
      <w:pPr>
        <w:spacing w:after="140" w:line="276"/>
      </w:pPr>
      <w:r>
        <w:rPr>
          <w:color w:val="1A1A1A"/>
          <w:sz w:val="21"/>
          <w:szCs w:val="21"/>
        </w:rPr>
        <w:t xml:space="preserve">It is the only component holding a signing key, so its blast radius differs from everything else in the deployment. Keeping it in its own repository, its own namespace and its own release cycle makes that boundary explicit rather than implied.</w:t>
      </w:r>
    </w:p>
    <w:p>
      <w:pPr>
        <w:spacing w:after="140" w:line="276"/>
      </w:pPr>
      <w:r>
        <w:rPr>
          <w:color w:val="1A1A1A"/>
          <w:sz w:val="21"/>
          <w:szCs w:val="21"/>
        </w:rPr>
        <w:t xml:space="preserve">Its availability requirements are the opposite of the agents'. An agent must verify while partitioned; an issuer is expected to be reachable only when somebody is onboarding. Bundling the two would import the issuer's uptime expectations into the agent, or the agent's isolation constraints into the issuer, and neither is desirable.</w:t>
      </w:r>
    </w:p>
    <w:p>
      <w:pPr>
        <w:spacing w:after="140" w:line="276"/>
      </w:pPr>
      <w:r>
        <w:rPr>
          <w:color w:val="1A1A1A"/>
          <w:sz w:val="21"/>
          <w:szCs w:val="21"/>
        </w:rPr>
        <w:t xml:space="preserve">It is optional. A deployment that issues credentials from a laptop with the command-line tool needs no service at all, and the design of OptimusDB does not assume one exists. Making it a separate project keeps that true.</w:t>
      </w:r>
    </w:p>
    <w:p>
      <w:pPr>
        <w:pStyle w:val="Heading2"/>
        <w:spacing w:after="140" w:before="320"/>
      </w:pPr>
      <w:r>
        <w:rPr>
          <w:b/>
          <w:bCs/>
          <w:color w:val="1A1A1A"/>
          <w:sz w:val="26"/>
          <w:szCs w:val="26"/>
        </w:rPr>
        <w:t xml:space="preserve">1.3  What it deliberately does not do</w:t>
      </w:r>
    </w:p>
    <w:p>
      <w:pPr>
        <w:spacing w:after="140" w:line="276"/>
      </w:pPr>
      <w:r>
        <w:rPr>
          <w:color w:val="1A1A1A"/>
          <w:sz w:val="21"/>
          <w:szCs w:val="21"/>
        </w:rPr>
        <w:t xml:space="preserve">It does not issue automatically. Every credential passes through a human decision. Whether to trust a party is not a judgement a program should make on its own, and an automatic issuer with a network-reachable key is a substantially larger target than one that requires an operator to click approve.</w:t>
      </w:r>
    </w:p>
    <w:p>
      <w:pPr>
        <w:spacing w:after="140" w:line="276"/>
      </w:pPr>
      <w:r>
        <w:rPr>
          <w:color w:val="1A1A1A"/>
          <w:sz w:val="21"/>
          <w:szCs w:val="21"/>
        </w:rPr>
        <w:t xml:space="preserve">It is not on the request path. This is worth stating twice because it is the property that keeps the wider design honest: if verification ever came to depend on this service being reachable, the system would have reacquired the central authority the credential model was chosen to avoid.</w:t>
      </w:r>
    </w:p>
    <w:p>
      <w:pPr>
        <w:spacing w:after="140" w:line="276"/>
      </w:pPr>
      <w:r>
        <w:rPr>
          <w:color w:val="1A1A1A"/>
          <w:sz w:val="21"/>
          <w:szCs w:val="21"/>
        </w:rPr>
        <w:t xml:space="preserve">It keeps no database. Requests, issued-credential records, trusted issuers and revocations all live in OptimusDB stores, which replicate and are captured by the existing export. The service is stateless and can be rescheduled without losing anything.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8A8A8A" w:sz="18"/>
              <w:bottom w:val="single" w:color="BFBFBF" w:sz="4"/>
              <w:right w:val="single" w:color="BFBFBF" w:sz="4"/>
            </w:tcBorders>
            <w:shd w:fill="FAFAF7" w:color="auto" w:val="clear"/>
            <w:tcMar>
              <w:top w:type="dxa" w:w="120"/>
              <w:left w:type="dxa" w:w="160"/>
              <w:bottom w:type="dxa" w:w="120"/>
              <w:right w:type="dxa" w:w="160"/>
            </w:tcMar>
          </w:tcPr>
          <w:p>
            <w:pPr>
              <w:spacing w:after="70"/>
            </w:pPr>
            <w:r>
              <w:rPr>
                <w:b/>
                <w:bCs/>
                <w:color w:val="1A1A1A"/>
                <w:sz w:val="19"/>
                <w:szCs w:val="19"/>
              </w:rPr>
              <w:t xml:space="preserve">The one genuine trade-off</w:t>
            </w:r>
          </w:p>
          <w:p>
            <w:pPr>
              <w:spacing w:after="0" w:line="270"/>
            </w:pPr>
            <w:r>
              <w:rPr>
                <w:color w:val="1A1A1A"/>
                <w:sz w:val="19"/>
                <w:szCs w:val="19"/>
              </w:rPr>
              <w:t xml:space="preserve">Putting a signing key in a container means a cluster compromise becomes the ability to mint arbitrary credentials — exactly what an offline key protects against. Section 5 describes the two-tier key model that bounds this, and section 9 the ceremony that establishes it. If that trade is unacceptable for a given deployment, the command-line tool provides the same issuance without the service.</w:t>
            </w:r>
          </w:p>
        </w:tc>
      </w:tr>
    </w:tbl>
    <w:p>
      <w:pPr>
        <w:spacing w:after="200" w:line="276"/>
      </w:pPr>
      <w:r>
        <w:rPr>
          <w:color w:val="1A1A1A"/>
          <w:sz w:val="21"/>
          <w:szCs w:val="21"/>
        </w:rPr>
        <w:t xml:space="preserve"/>
      </w:r>
    </w:p>
    <w:p>
      <w:r>
        <w:br w:type="page"/>
      </w:r>
    </w:p>
    <w:p>
      <w:pPr>
        <w:pStyle w:val="Heading1"/>
        <w:spacing w:after="200" w:before="400"/>
      </w:pPr>
      <w:r>
        <w:rPr>
          <w:b/>
          <w:bCs/>
          <w:color w:val="1A1A1A"/>
          <w:sz w:val="34"/>
          <w:szCs w:val="34"/>
        </w:rPr>
        <w:t xml:space="preserve">2  Placement</w:t>
      </w:r>
    </w:p>
    <w:p>
      <w:pPr>
        <w:spacing w:after="140" w:line="276"/>
      </w:pPr>
      <w:r>
        <w:rPr>
          <w:color w:val="1A1A1A"/>
          <w:sz w:val="21"/>
          <w:szCs w:val="21"/>
        </w:rPr>
        <w:t xml:space="preserve">optimusIssuer sits beside the OptimusDB deployment rather than inside it, in its own namespace, reachable through the existing ingress at a distinct path.</w:t>
      </w:r>
    </w:p>
    <w:p>
      <w:pPr>
        <w:spacing w:after="80" w:before="160" w:line="240" w:lineRule="auto"/>
        <w:jc w:val="center"/>
      </w:pPr>
      <w:r>
        <w:drawing>
          <wp:inline distT="0" distB="0" distL="0" distR="0">
            <wp:extent cx="5848350" cy="2886075"/>
            <wp:effectExtent t="0" r="0" b="0" l="0"/>
            <wp:docPr id="1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 descr=""/>
                    <pic:cNvPicPr>
                      <a:picLocks noChangeAspect="1" noChangeArrowheads="1"/>
                    </pic:cNvPicPr>
                  </pic:nvPicPr>
                  <pic:blipFill>
                    <a:blip r:embed="rId9" cstate="none"/>
                    <a:srcRect/>
                    <a:stretch>
                      <a:fillRect/>
                    </a:stretch>
                  </pic:blipFill>
                  <pic:spPr bwMode="auto">
                    <a:xfrm>
                      <a:off x="0" y="0"/>
                      <a:ext cx="5848350" cy="2886075"/>
                    </a:xfrm>
                    <a:prstGeom prst="rect">
                      <a:avLst/>
                    </a:prstGeom>
                  </pic:spPr>
                </pic:pic>
              </a:graphicData>
            </a:graphic>
          </wp:inline>
        </w:drawing>
      </w:r>
    </w:p>
    <w:p>
      <w:pPr>
        <w:spacing w:after="240"/>
        <w:jc w:val="center"/>
      </w:pPr>
      <w:r>
        <w:rPr>
          <w:i/>
          <w:iCs/>
          <w:color w:val="595959"/>
          <w:sz w:val="17"/>
          <w:szCs w:val="17"/>
        </w:rPr>
        <w:t xml:space="preserve">Figure 2.1 — Where optimusIssuer sits. It writes records into the agents' stores and is never called by them.</w:t>
      </w:r>
    </w:p>
    <w:p>
      <w:pPr>
        <w:pStyle w:val="Heading2"/>
        <w:spacing w:after="140" w:before="320"/>
      </w:pPr>
      <w:r>
        <w:rPr>
          <w:b/>
          <w:bCs/>
          <w:color w:val="1A1A1A"/>
          <w:sz w:val="26"/>
          <w:szCs w:val="26"/>
        </w:rPr>
        <w:t xml:space="preserve">2.1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5054"/>
        <w:gridCol w:w="2060"/>
      </w:tblGrid>
      <w:tr>
        <w:trPr>
          <w:tblHeader/>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Component</w:t>
            </w:r>
          </w:p>
        </w:tc>
        <w:tc>
          <w:tcPr>
            <w:tcW w:type="dxa" w:w="505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Relationship</w:t>
            </w:r>
          </w:p>
        </w:tc>
        <w:tc>
          <w:tcPr>
            <w:tcW w:type="dxa" w:w="20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Direction</w:t>
            </w:r>
          </w:p>
        </w:tc>
      </w:tr>
      <w:tr>
        <w:trPr>
          <w:cantSplit/>
        </w:trPr>
        <w:tc>
          <w:tcPr>
            <w:tcW w:type="dxa" w:w="2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OptimusDB agents</w:t>
            </w:r>
          </w:p>
        </w:tc>
        <w:tc>
          <w:tcPr>
            <w:tcW w:type="dxa" w:w="505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Writes requests, issuance records, trusted issuers and revocations through the existing command API</w:t>
            </w:r>
          </w:p>
        </w:tc>
        <w:tc>
          <w:tcPr>
            <w:tcW w:type="dxa" w:w="2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issuer → agent only</w:t>
            </w:r>
          </w:p>
        </w:tc>
      </w:tr>
      <w:tr>
        <w:trPr>
          <w:cantSplit/>
        </w:trPr>
        <w:tc>
          <w:tcPr>
            <w:tcW w:type="dxa" w:w="2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Keycloak</w:t>
            </w:r>
          </w:p>
        </w:tc>
        <w:tc>
          <w:tcPr>
            <w:tcW w:type="dxa" w:w="505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Verifies operator access tokens against the realm's public keys</w:t>
            </w:r>
          </w:p>
        </w:tc>
        <w:tc>
          <w:tcPr>
            <w:tcW w:type="dxa" w:w="2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issuer → Keycloak, cached</w:t>
            </w:r>
          </w:p>
        </w:tc>
      </w:tr>
      <w:tr>
        <w:trPr>
          <w:cantSplit/>
        </w:trPr>
        <w:tc>
          <w:tcPr>
            <w:tcW w:type="dxa" w:w="2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Traefik</w:t>
            </w:r>
          </w:p>
        </w:tc>
        <w:tc>
          <w:tcPr>
            <w:tcW w:type="dxa" w:w="505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Serves the interface and API under /issuer</w:t>
            </w:r>
          </w:p>
        </w:tc>
        <w:tc>
          <w:tcPr>
            <w:tcW w:type="dxa" w:w="2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ingress → issuer</w:t>
            </w:r>
          </w:p>
        </w:tc>
      </w:tr>
      <w:tr>
        <w:trPr>
          <w:cantSplit/>
        </w:trPr>
        <w:tc>
          <w:tcPr>
            <w:tcW w:type="dxa" w:w="2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Applicants</w:t>
            </w:r>
          </w:p>
        </w:tc>
        <w:tc>
          <w:tcPr>
            <w:tcW w:type="dxa" w:w="505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Submit credential requests; receive a signed credential file</w:t>
            </w:r>
          </w:p>
        </w:tc>
        <w:tc>
          <w:tcPr>
            <w:tcW w:type="dxa" w:w="2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applicant → issuer</w:t>
            </w:r>
          </w:p>
        </w:tc>
      </w:tr>
      <w:tr>
        <w:trPr>
          <w:cantSplit/>
        </w:trPr>
        <w:tc>
          <w:tcPr>
            <w:tcW w:type="dxa" w:w="2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OptimusDDC</w:t>
            </w:r>
          </w:p>
        </w:tc>
        <w:tc>
          <w:tcPr>
            <w:tcW w:type="dxa" w:w="505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None. The catalog front end does not interact with this service</w:t>
            </w:r>
          </w:p>
        </w:tc>
        <w:tc>
          <w:tcPr>
            <w:tcW w:type="dxa" w:w="2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w:t>
            </w:r>
          </w:p>
        </w:tc>
      </w:tr>
    </w:tbl>
    <w:p>
      <w:pPr>
        <w:spacing w:after="220" w:line="276"/>
      </w:pPr>
      <w:r>
        <w:rPr>
          <w:i/>
          <w:iCs/>
          <w:color w:val="595959"/>
          <w:sz w:val="17"/>
          <w:szCs w:val="17"/>
        </w:rPr>
        <w:t xml:space="preserve">Table 2.1 — What optimusIssuer talks to</w:t>
      </w:r>
    </w:p>
    <w:p>
      <w:pPr>
        <w:spacing w:after="140" w:line="276"/>
      </w:pPr>
      <w:r>
        <w:rPr>
          <w:color w:val="1A1A1A"/>
          <w:sz w:val="21"/>
          <w:szCs w:val="21"/>
        </w:rPr>
        <w:t xml:space="preserve">The direction of the first row matters. No agent ever calls optimusIssuer, which is why an agent can verify credentials during an outage of this service, and why a NetworkPolicy can forbid inbound traffic to it from the agents' namespace entirely.</w:t>
      </w:r>
    </w:p>
    <w:p>
      <w:pPr>
        <w:pStyle w:val="Heading2"/>
        <w:spacing w:after="140" w:before="320"/>
      </w:pPr>
      <w:r>
        <w:rPr>
          <w:b/>
          <w:bCs/>
          <w:color w:val="1A1A1A"/>
          <w:sz w:val="26"/>
          <w:szCs w:val="26"/>
        </w:rPr>
        <w:t xml:space="preserve">2.2  Where records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tblHeader/>
        </w:trPr>
        <w:tc>
          <w:tcPr>
            <w:tcW w:type="dxa" w:w="187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Store</w:t>
            </w:r>
          </w:p>
        </w:tc>
        <w:tc>
          <w:tcPr>
            <w:tcW w:type="dxa" w:w="374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Records written</w:t>
            </w:r>
          </w:p>
        </w:tc>
        <w:tc>
          <w:tcPr>
            <w:tcW w:type="dxa" w:w="374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Why there</w:t>
            </w:r>
          </w:p>
        </w:tc>
      </w:tr>
      <w:tr>
        <w:trPr>
          <w:cantSplit/>
        </w:trPr>
        <w:tc>
          <w:tcPr>
            <w:tcW w:type="dxa" w:w="187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kbtrust</w:t>
            </w:r>
          </w:p>
        </w:tc>
        <w:tc>
          <w:tcPr>
            <w:tcW w:type="dxa" w:w="374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Trusted issuer entries, revocations</w:t>
            </w:r>
          </w:p>
        </w:tc>
        <w:tc>
          <w:tcPr>
            <w:tcW w:type="dxa" w:w="374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Consulted by agents during verification; already replicated</w:t>
            </w:r>
          </w:p>
        </w:tc>
      </w:tr>
      <w:tr>
        <w:trPr>
          <w:cantSplit/>
        </w:trPr>
        <w:tc>
          <w:tcPr>
            <w:tcW w:type="dxa" w:w="187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kbissuance</w:t>
            </w:r>
          </w:p>
        </w:tc>
        <w:tc>
          <w:tcPr>
            <w:tcW w:type="dxa" w:w="374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Credential requests, issuance records</w:t>
            </w:r>
          </w:p>
        </w:tc>
        <w:tc>
          <w:tcPr>
            <w:tcW w:type="dxa" w:w="374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New store, created on first use by the dynamic store registry</w:t>
            </w:r>
          </w:p>
        </w:tc>
      </w:tr>
      <w:tr>
        <w:trPr>
          <w:cantSplit/>
        </w:trPr>
        <w:tc>
          <w:tcPr>
            <w:tcW w:type="dxa" w:w="187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whoiswho</w:t>
            </w:r>
          </w:p>
        </w:tc>
        <w:tc>
          <w:tcPr>
            <w:tcW w:type="dxa" w:w="374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Optional descriptive identity records</w:t>
            </w:r>
          </w:p>
        </w:tc>
        <w:tc>
          <w:tcPr>
            <w:tcW w:type="dxa" w:w="374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Makes audit rows legible; never consulted during verification</w:t>
            </w:r>
          </w:p>
        </w:tc>
      </w:tr>
    </w:tbl>
    <w:p>
      <w:pPr>
        <w:spacing w:after="140" w:line="276"/>
      </w:pPr>
      <w:r>
        <w:rPr>
          <w:color w:val="1A1A1A"/>
          <w:sz w:val="21"/>
          <w:szCs w:val="21"/>
        </w:rPr>
        <w:t xml:space="preserve"/>
      </w:r>
    </w:p>
    <w:p>
      <w:pPr>
        <w:spacing w:after="140" w:line="276"/>
      </w:pPr>
      <w:r>
        <w:rPr>
          <w:color w:val="1A1A1A"/>
          <w:sz w:val="21"/>
          <w:szCs w:val="21"/>
        </w:rPr>
        <w:t xml:space="preserve">Because all three are ordinary OptimusDB document stores, they replicate to every agent and are captured by the existing export and import. optimusIssuer can be destroyed and rebuilt without losing any record of what it has done.</w:t>
      </w:r>
    </w:p>
    <w:p>
      <w:r>
        <w:br w:type="page"/>
      </w:r>
    </w:p>
    <w:p>
      <w:pPr>
        <w:pStyle w:val="Heading1"/>
        <w:spacing w:after="200" w:before="400"/>
      </w:pPr>
      <w:r>
        <w:rPr>
          <w:b/>
          <w:bCs/>
          <w:color w:val="1A1A1A"/>
          <w:sz w:val="34"/>
          <w:szCs w:val="34"/>
        </w:rPr>
        <w:t xml:space="preserve">3  Architecture</w:t>
      </w:r>
    </w:p>
    <w:p>
      <w:pPr>
        <w:pStyle w:val="Heading2"/>
        <w:spacing w:after="140" w:before="320"/>
      </w:pPr>
      <w:r>
        <w:rPr>
          <w:b/>
          <w:bCs/>
          <w:color w:val="1A1A1A"/>
          <w:sz w:val="26"/>
          <w:szCs w:val="26"/>
        </w:rPr>
        <w:t xml:space="preserve">3.1  Process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optimusIssuer (one container, one process)</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  chi router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    /              → embedded React SPA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    /api/v1/issuer → public | operator | admin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  api.Service    policy, orchestration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  credential     sign, verify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  canonical      JCS, SHA-256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  did            did:key encode and decode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  keys           key loading, permission checks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  auth           Keycloak token verification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  store          OptimusDB command API client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  audit          bounded in-memory ring         │</w:t>
            </w:r>
          </w:p>
        </w:tc>
      </w:tr>
      <w:tr>
        <w:trPr>
          <w:cantSplit/>
        </w:trPr>
        <w:tc>
          <w:tcPr>
            <w:tcW w:type="dxa" w:w="9360"/>
            <w:tcBorders>
              <w:top w:val="none" w:color="auto" w:sz="0"/>
              <w:left w:val="single" w:color="BFBFBF" w:sz="4"/>
              <w:bottom w:val="single" w:color="BFBFBF" w:sz="4"/>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w:t>
            </w:r>
          </w:p>
        </w:tc>
      </w:tr>
    </w:tbl>
    <w:p>
      <w:pPr>
        <w:spacing w:after="200" w:line="276"/>
      </w:pPr>
      <w:r>
        <w:rPr>
          <w:i/>
          <w:iCs/>
          <w:color w:val="595959"/>
          <w:sz w:val="17"/>
          <w:szCs w:val="17"/>
        </w:rPr>
        <w:t xml:space="preserve">Listing 3.1 — Package layout</w:t>
      </w:r>
    </w:p>
    <w:p>
      <w:pPr>
        <w:pStyle w:val="Heading2"/>
        <w:spacing w:after="140" w:before="320"/>
      </w:pPr>
      <w:r>
        <w:rPr>
          <w:b/>
          <w:bCs/>
          <w:color w:val="1A1A1A"/>
          <w:sz w:val="26"/>
          <w:szCs w:val="26"/>
        </w:rPr>
        <w:t xml:space="preserve">3.2  Why the interface is embedded</w:t>
      </w:r>
    </w:p>
    <w:p>
      <w:pPr>
        <w:spacing w:after="140" w:line="276"/>
      </w:pPr>
      <w:r>
        <w:rPr>
          <w:color w:val="1A1A1A"/>
          <w:sz w:val="21"/>
          <w:szCs w:val="21"/>
        </w:rPr>
        <w:t xml:space="preserve">The React application is built by Vite and embedded into the Go binary with the embed directive. The runtime image therefore contains one static executable and nothing else: no node runtime, no nginx, no second container in the pod.</w:t>
      </w:r>
    </w:p>
    <w:p>
      <w:pPr>
        <w:spacing w:after="140" w:line="276"/>
      </w:pPr>
      <w:r>
        <w:rPr>
          <w:color w:val="1A1A1A"/>
          <w:sz w:val="21"/>
          <w:szCs w:val="21"/>
        </w:rPr>
        <w:t xml:space="preserve">This is a security decision as much as an operational one. The component holding the signing key should have the smallest possible surface, and a web server process with its own release cadence and CVE stream is surface that buys nothing here.</w:t>
      </w:r>
    </w:p>
    <w:p>
      <w:pPr>
        <w:pStyle w:val="Heading2"/>
        <w:spacing w:after="140" w:before="320"/>
      </w:pPr>
      <w:r>
        <w:rPr>
          <w:b/>
          <w:bCs/>
          <w:color w:val="1A1A1A"/>
          <w:sz w:val="26"/>
          <w:szCs w:val="26"/>
        </w:rPr>
        <w:t xml:space="preserve">3.3  Three privilege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3182"/>
        <w:gridCol w:w="4680"/>
      </w:tblGrid>
      <w:tr>
        <w:trPr>
          <w:tblHeader/>
        </w:trPr>
        <w:tc>
          <w:tcPr>
            <w:tcW w:type="dxa" w:w="149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Tier</w:t>
            </w:r>
          </w:p>
        </w:tc>
        <w:tc>
          <w:tcPr>
            <w:tcW w:type="dxa" w:w="318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Requirement</w:t>
            </w:r>
          </w:p>
        </w:tc>
        <w:tc>
          <w:tcPr>
            <w:tcW w:type="dxa" w:w="46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Endpoints</w:t>
            </w:r>
          </w:p>
        </w:tc>
      </w:tr>
      <w:tr>
        <w:trPr>
          <w:cantSplit/>
        </w:trPr>
        <w:tc>
          <w:tcPr>
            <w:tcW w:type="dxa" w:w="149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Public</w:t>
            </w:r>
          </w:p>
        </w:tc>
        <w:tc>
          <w:tcPr>
            <w:tcW w:type="dxa" w:w="318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None</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health, info, submit a request</w:t>
            </w:r>
          </w:p>
        </w:tc>
      </w:tr>
      <w:tr>
        <w:trPr>
          <w:cantSplit/>
        </w:trPr>
        <w:tc>
          <w:tcPr>
            <w:tcW w:type="dxa" w:w="149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Operator</w:t>
            </w:r>
          </w:p>
        </w:tc>
        <w:tc>
          <w:tcPr>
            <w:tcW w:type="dxa" w:w="318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Keycloak role issuer:operator</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list, approve, reject, issue, revoke, read the trust list, audit</w:t>
            </w:r>
          </w:p>
        </w:tc>
      </w:tr>
      <w:tr>
        <w:trPr>
          <w:cantSplit/>
        </w:trPr>
        <w:tc>
          <w:tcPr>
            <w:tcW w:type="dxa" w:w="149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Admin</w:t>
            </w:r>
          </w:p>
        </w:tc>
        <w:tc>
          <w:tcPr>
            <w:tcW w:type="dxa" w:w="318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Keycloak role issuer:admin</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modify the trust list</w:t>
            </w:r>
          </w:p>
        </w:tc>
      </w:tr>
    </w:tbl>
    <w:p>
      <w:pPr>
        <w:spacing w:after="220" w:line="276"/>
      </w:pPr>
      <w:r>
        <w:rPr>
          <w:i/>
          <w:iCs/>
          <w:color w:val="595959"/>
          <w:sz w:val="17"/>
          <w:szCs w:val="17"/>
        </w:rPr>
        <w:t xml:space="preserve">Table 3.1 — Privilege tiers</w:t>
      </w:r>
    </w:p>
    <w:p>
      <w:pPr>
        <w:spacing w:after="140" w:line="276"/>
      </w:pPr>
      <w:r>
        <w:rPr>
          <w:color w:val="1A1A1A"/>
          <w:sz w:val="21"/>
          <w:szCs w:val="21"/>
        </w:rPr>
        <w:t xml:space="preserve">Request submission is unauthenticated on purpose. The payload carries no secret — the only key-derived field is a public identifier — and requiring a credential in order to ask for a credential would make onboarding circular.</w:t>
      </w:r>
    </w:p>
    <w:p>
      <w:pPr>
        <w:spacing w:after="140" w:line="276"/>
      </w:pPr>
      <w:r>
        <w:rPr>
          <w:color w:val="1A1A1A"/>
          <w:sz w:val="21"/>
          <w:szCs w:val="21"/>
        </w:rPr>
        <w:t xml:space="preserve">Modifying the trust list is separated from ordinary issuance because it is categorically different. Issuing a credential grants capabilities to one party; adding a trusted issuer delegates the ability to grant capabilities to anyone. The two should not sit behind the same role.</w:t>
      </w:r>
    </w:p>
    <w:p>
      <w:pPr>
        <w:pStyle w:val="Heading2"/>
        <w:spacing w:after="140" w:before="320"/>
      </w:pPr>
      <w:r>
        <w:rPr>
          <w:b/>
          <w:bCs/>
          <w:color w:val="1A1A1A"/>
          <w:sz w:val="26"/>
          <w:szCs w:val="26"/>
        </w:rPr>
        <w:t xml:space="preserve">3.4  Statelessness</w:t>
      </w:r>
    </w:p>
    <w:p>
      <w:pPr>
        <w:spacing w:after="140" w:line="276"/>
      </w:pPr>
      <w:r>
        <w:rPr>
          <w:color w:val="1A1A1A"/>
          <w:sz w:val="21"/>
          <w:szCs w:val="21"/>
        </w:rPr>
        <w:t xml:space="preserve">The only state held in the process is the private key in memory, a cached Keycloak key set and a bounded audit ring for the interface. Everything durable is written to OptimusDB. A restart loses the audit ring, which is a convenience view; the durable issuance record is in kbissuance.</w:t>
      </w:r>
    </w:p>
    <w:p>
      <w:pPr>
        <w:spacing w:after="140" w:line="276"/>
      </w:pPr>
      <w:r>
        <w:rPr>
          <w:color w:val="1A1A1A"/>
          <w:sz w:val="21"/>
          <w:szCs w:val="21"/>
        </w:rPr>
        <w:t xml:space="preserve">One replica is specified deliberately. A second would place another copy of the key in memory for no availability gain, since the service is not on the request path and an onboarding delayed by a restart costs nothing.</w:t>
      </w:r>
    </w:p>
    <w:p>
      <w:r>
        <w:br w:type="page"/>
      </w:r>
    </w:p>
    <w:p>
      <w:pPr>
        <w:pStyle w:val="Heading1"/>
        <w:spacing w:after="200" w:before="400"/>
      </w:pPr>
      <w:r>
        <w:rPr>
          <w:b/>
          <w:bCs/>
          <w:color w:val="1A1A1A"/>
          <w:sz w:val="34"/>
          <w:szCs w:val="34"/>
        </w:rPr>
        <w:t xml:space="preserve">4  The credential model, as this service implements it</w:t>
      </w:r>
    </w:p>
    <w:p>
      <w:pPr>
        <w:spacing w:after="140" w:line="276"/>
      </w:pPr>
      <w:r>
        <w:rPr>
          <w:color w:val="1A1A1A"/>
          <w:sz w:val="21"/>
          <w:szCs w:val="21"/>
        </w:rPr>
        <w:t xml:space="preserve">The formats are those of the wider AAA design; this section covers what optimusIssuer does with them.</w:t>
      </w:r>
    </w:p>
    <w:p>
      <w:pPr>
        <w:pStyle w:val="Heading2"/>
        <w:spacing w:after="140" w:before="320"/>
      </w:pPr>
      <w:r>
        <w:rPr>
          <w:b/>
          <w:bCs/>
          <w:color w:val="1A1A1A"/>
          <w:sz w:val="26"/>
          <w:szCs w:val="26"/>
        </w:rPr>
        <w:t xml:space="preserve">4.1  What is 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"@context": ["https://www.w3.org/2018/credentials/v1",</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"https://swarmchestrate.eu/contexts/optimusdb/v1"],</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"id": "urn:uuid:vc-7d3f2a91c4e80b65",</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"type": ["VerifiableCredential", "OptimusDBCapability"],</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"issuer": "did:key:z6MkhaXgBZDvotDkL5257faizti...",</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"issuanceDate": "2026-09-17T09:05:00Z",</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"expirationDate": "2026-12-16T09:05:00Z",</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"credentialSubject":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"id": "did:key:z6MkfMyApp9kWq2fT7nB4pL8sYdX1aH6uJ0eC5rNmQvT",</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"name": "Attica Solar Ingest",</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"organisation": "ICCS",</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"capabilities":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 "action": "crudput", "store": "kbmetadata"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 "action": "crudget", "store": "kbmetadata"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"proof":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"type": "Ed25519Signature2020",</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"created": "2026-09-17T09:05:00Z",</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"proofPurpose": "assertionMethod",</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"verificationMethod": "did:key:z6MkhaXg...#z6MkhaXg...",</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"proofValue": "z3MvGcVxzR8kWq2fT9nB4pL7sYdX1aH6uJ0eC5rNmQ..."</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w:t>
            </w:r>
          </w:p>
        </w:tc>
      </w:tr>
      <w:tr>
        <w:trPr>
          <w:cantSplit/>
        </w:trPr>
        <w:tc>
          <w:tcPr>
            <w:tcW w:type="dxa" w:w="9360"/>
            <w:tcBorders>
              <w:top w:val="none" w:color="auto" w:sz="0"/>
              <w:left w:val="single" w:color="BFBFBF" w:sz="4"/>
              <w:bottom w:val="single" w:color="BFBFBF" w:sz="4"/>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w:t>
            </w:r>
          </w:p>
        </w:tc>
      </w:tr>
    </w:tbl>
    <w:p>
      <w:pPr>
        <w:spacing w:after="200" w:line="276"/>
      </w:pPr>
      <w:r>
        <w:rPr>
          <w:i/>
          <w:iCs/>
          <w:color w:val="595959"/>
          <w:sz w:val="17"/>
          <w:szCs w:val="17"/>
        </w:rPr>
        <w:t xml:space="preserve">Listing 4.1 — A credential as issued</w:t>
      </w:r>
    </w:p>
    <w:p>
      <w:pPr>
        <w:pStyle w:val="Heading2"/>
        <w:spacing w:after="140" w:before="320"/>
      </w:pPr>
      <w:r>
        <w:rPr>
          <w:b/>
          <w:bCs/>
          <w:color w:val="1A1A1A"/>
          <w:sz w:val="26"/>
          <w:szCs w:val="26"/>
        </w:rPr>
        <w:t xml:space="preserve">4.2  The signing operation</w:t>
      </w:r>
    </w:p>
    <w:p>
      <w:pPr>
        <w:pStyle w:val="ListParagraph"/>
        <w:numPr>
          <w:ilvl w:val="0"/>
          <w:numId w:val="2"/>
        </w:numPr>
        <w:spacing w:after="90" w:line="276"/>
      </w:pPr>
      <w:r>
        <w:rPr>
          <w:color w:val="1A1A1A"/>
          <w:sz w:val="21"/>
          <w:szCs w:val="21"/>
        </w:rPr>
        <w:t xml:space="preserve">Build the credential with proofValue empty. The remaining proof fields — type, created, purpose, verification method — are inside the signed payload, so none of them can be altered afterwards.</w:t>
      </w:r>
    </w:p>
    <w:p>
      <w:pPr>
        <w:pStyle w:val="ListParagraph"/>
        <w:numPr>
          <w:ilvl w:val="0"/>
          <w:numId w:val="2"/>
        </w:numPr>
        <w:spacing w:after="90" w:line="276"/>
      </w:pPr>
      <w:r>
        <w:rPr>
          <w:color w:val="1A1A1A"/>
          <w:sz w:val="21"/>
          <w:szCs w:val="21"/>
        </w:rPr>
        <w:t xml:space="preserve">Canonicalise with JCS, RFC 8785: object keys sorted by UTF-16 code unit, no insignificant whitespace, ECMAScript number formatting.</w:t>
      </w:r>
    </w:p>
    <w:p>
      <w:pPr>
        <w:pStyle w:val="ListParagraph"/>
        <w:numPr>
          <w:ilvl w:val="0"/>
          <w:numId w:val="2"/>
        </w:numPr>
        <w:spacing w:after="90" w:line="276"/>
      </w:pPr>
      <w:r>
        <w:rPr>
          <w:color w:val="1A1A1A"/>
          <w:sz w:val="21"/>
          <w:szCs w:val="21"/>
        </w:rPr>
        <w:t xml:space="preserve">Hash the canonical bytes with SHA-256.</w:t>
      </w:r>
    </w:p>
    <w:p>
      <w:pPr>
        <w:pStyle w:val="ListParagraph"/>
        <w:numPr>
          <w:ilvl w:val="0"/>
          <w:numId w:val="2"/>
        </w:numPr>
        <w:spacing w:after="90" w:line="276"/>
      </w:pPr>
      <w:r>
        <w:rPr>
          <w:color w:val="1A1A1A"/>
          <w:sz w:val="21"/>
          <w:szCs w:val="21"/>
        </w:rPr>
        <w:t xml:space="preserve">Sign the digest with Ed25519.</w:t>
      </w:r>
    </w:p>
    <w:p>
      <w:pPr>
        <w:pStyle w:val="ListParagraph"/>
        <w:numPr>
          <w:ilvl w:val="0"/>
          <w:numId w:val="2"/>
        </w:numPr>
        <w:spacing w:after="90" w:line="276"/>
      </w:pPr>
      <w:r>
        <w:rPr>
          <w:color w:val="1A1A1A"/>
          <w:sz w:val="21"/>
          <w:szCs w:val="21"/>
        </w:rPr>
        <w:t xml:space="preserve">Encode the 64-byte signature as base58btc multibase and place it in proofValue.</w:t>
      </w:r>
    </w:p>
    <w:p>
      <w:pPr>
        <w:pStyle w:val="Heading2"/>
        <w:spacing w:after="140" w:before="320"/>
      </w:pPr>
      <w:r>
        <w:rPr>
          <w:b/>
          <w:bCs/>
          <w:color w:val="1A1A1A"/>
          <w:sz w:val="26"/>
          <w:szCs w:val="26"/>
        </w:rPr>
        <w:t xml:space="preserve">4.3  Self-verification</w:t>
      </w:r>
    </w:p>
    <w:p>
      <w:pPr>
        <w:spacing w:after="140" w:line="276"/>
      </w:pPr>
      <w:r>
        <w:rPr>
          <w:color w:val="1A1A1A"/>
          <w:sz w:val="21"/>
          <w:szCs w:val="21"/>
        </w:rPr>
        <w:t xml:space="preserve">Immediately after signing, the service verifies its own output using the same verification function an agent runs. If that check fails the credential is discarded and an error is returned rather than a credential.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8A8A8A" w:sz="18"/>
              <w:bottom w:val="single" w:color="BFBFBF" w:sz="4"/>
              <w:right w:val="single" w:color="BFBFBF" w:sz="4"/>
            </w:tcBorders>
            <w:shd w:fill="FAFAF7" w:color="auto" w:val="clear"/>
            <w:tcMar>
              <w:top w:type="dxa" w:w="120"/>
              <w:left w:type="dxa" w:w="160"/>
              <w:bottom w:type="dxa" w:w="120"/>
              <w:right w:type="dxa" w:w="160"/>
            </w:tcMar>
          </w:tcPr>
          <w:p>
            <w:pPr>
              <w:spacing w:after="70"/>
            </w:pPr>
            <w:r>
              <w:rPr>
                <w:b/>
                <w:bCs/>
                <w:color w:val="1A1A1A"/>
                <w:sz w:val="19"/>
                <w:szCs w:val="19"/>
              </w:rPr>
              <w:t xml:space="preserve">Why this is not redundant</w:t>
            </w:r>
          </w:p>
          <w:p>
            <w:pPr>
              <w:spacing w:after="0" w:line="270"/>
            </w:pPr>
            <w:r>
              <w:rPr>
                <w:color w:val="1A1A1A"/>
                <w:sz w:val="19"/>
                <w:szCs w:val="19"/>
              </w:rPr>
              <w:t xml:space="preserve">The single most likely defect in this system is a canonicalisation mismatch between issuer and verifier. Its symptom is a signature that fails to verify, which sends people to look at key handling rather than at serialisation. Verifying at issuance moves that failure to the moment the code is exercised, with a message that names the cause.</w:t>
            </w:r>
          </w:p>
        </w:tc>
      </w:tr>
    </w:tbl>
    <w:p>
      <w:pPr>
        <w:spacing w:after="200" w:line="276"/>
      </w:pPr>
      <w:r>
        <w:rPr>
          <w:color w:val="1A1A1A"/>
          <w:sz w:val="21"/>
          <w:szCs w:val="21"/>
        </w:rPr>
        <w:t xml:space="preserve"/>
      </w:r>
    </w:p>
    <w:p>
      <w:pPr>
        <w:pStyle w:val="Heading2"/>
        <w:spacing w:after="140" w:before="320"/>
      </w:pPr>
      <w:r>
        <w:rPr>
          <w:b/>
          <w:bCs/>
          <w:color w:val="1A1A1A"/>
          <w:sz w:val="26"/>
          <w:szCs w:val="26"/>
        </w:rPr>
        <w:t xml:space="preserve">4.4  Capabilities, not roles</w:t>
      </w:r>
    </w:p>
    <w:p>
      <w:pPr>
        <w:spacing w:after="140" w:line="276"/>
      </w:pPr>
      <w:r>
        <w:rPr>
          <w:color w:val="1A1A1A"/>
          <w:sz w:val="21"/>
          <w:szCs w:val="21"/>
        </w:rPr>
        <w:t xml:space="preserve">The grant carried by a credential is a list of action and store pairs. A role would be a name meaningful only by reference to a table held elsewhere, which implies a service that holds it; a capability carries the grant itself, so a verifier needs nothing beyond the credential and a public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5429"/>
        <w:gridCol w:w="2621"/>
      </w:tblGrid>
      <w:tr>
        <w:trPr>
          <w:tblHeader/>
        </w:trPr>
        <w:tc>
          <w:tcPr>
            <w:tcW w:type="dxa" w:w="131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Field</w:t>
            </w:r>
          </w:p>
        </w:tc>
        <w:tc>
          <w:tcPr>
            <w:tcW w:type="dxa" w:w="542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Matching</w:t>
            </w:r>
          </w:p>
        </w:tc>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Wildcard</w:t>
            </w:r>
          </w:p>
        </w:tc>
      </w:tr>
      <w:tr>
        <w:trPr>
          <w:cantSplit/>
        </w:trPr>
        <w:tc>
          <w:tcPr>
            <w:tcW w:type="dxa" w:w="131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action</w:t>
            </w:r>
          </w:p>
        </w:tc>
        <w:tc>
          <w:tcPr>
            <w:tcW w:type="dxa" w:w="542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Exact string match against the operation the agent is performing</w:t>
            </w:r>
          </w:p>
        </w:tc>
        <w:tc>
          <w:tcPr>
            <w:tcW w:type="dxa" w:w="262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 matches any action</w:t>
            </w:r>
          </w:p>
        </w:tc>
      </w:tr>
      <w:tr>
        <w:trPr>
          <w:cantSplit/>
        </w:trPr>
        <w:tc>
          <w:tcPr>
            <w:tcW w:type="dxa" w:w="131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store</w:t>
            </w:r>
          </w:p>
        </w:tc>
        <w:tc>
          <w:tcPr>
            <w:tcW w:type="dxa" w:w="542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Exact match against the target store; not a prefix match</w:t>
            </w:r>
          </w:p>
        </w:tc>
        <w:tc>
          <w:tcPr>
            <w:tcW w:type="dxa" w:w="262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 matches any store</w:t>
            </w:r>
          </w:p>
        </w:tc>
      </w:tr>
    </w:tbl>
    <w:p>
      <w:pPr>
        <w:spacing w:after="140" w:line="276"/>
      </w:pPr>
      <w:r>
        <w:rPr>
          <w:color w:val="1A1A1A"/>
          <w:sz w:val="21"/>
          <w:szCs w:val="21"/>
        </w:rPr>
        <w:t xml:space="preserve"/>
      </w:r>
    </w:p>
    <w:p>
      <w:pPr>
        <w:spacing w:after="140" w:line="276"/>
      </w:pPr>
      <w:r>
        <w:rPr>
          <w:color w:val="1A1A1A"/>
          <w:sz w:val="21"/>
          <w:szCs w:val="21"/>
        </w:rPr>
        <w:t xml:space="preserve">Wildcards are honoured but treated as exceptional throughout: highlighted in the interface, recorded distinctly in the audit trail, and optionally requiring a second operator. A credential granting a wildcard on both fields is equivalent to unrestricted access and should be rare enough to be individually justified.</w:t>
      </w:r>
    </w:p>
    <w:p>
      <w:pPr>
        <w:pStyle w:val="Heading2"/>
        <w:spacing w:after="140" w:before="320"/>
      </w:pPr>
      <w:r>
        <w:rPr>
          <w:b/>
          <w:bCs/>
          <w:color w:val="1A1A1A"/>
          <w:sz w:val="26"/>
          <w:szCs w:val="26"/>
        </w:rPr>
        <w:t xml:space="preserve">4.5  Validity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2246"/>
        <w:gridCol w:w="4680"/>
      </w:tblGrid>
      <w:tr>
        <w:trPr>
          <w:tblHeader/>
        </w:trPr>
        <w:tc>
          <w:tcPr>
            <w:tcW w:type="dxa" w:w="243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Credential type</w:t>
            </w:r>
          </w:p>
        </w:tc>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Recommended validity</w:t>
            </w:r>
          </w:p>
        </w:tc>
        <w:tc>
          <w:tcPr>
            <w:tcW w:type="dxa" w:w="46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Rationale</w:t>
            </w:r>
          </w:p>
        </w:tc>
      </w:tr>
      <w:tr>
        <w:trPr>
          <w:cantSplit/>
        </w:trPr>
        <w:tc>
          <w:tcPr>
            <w:tcW w:type="dxa" w:w="243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Operator</w:t>
            </w:r>
          </w:p>
        </w:tc>
        <w:tc>
          <w:tcPr>
            <w:tcW w:type="dxa" w:w="2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30 days</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High privilege; short window limits the value of a leak</w:t>
            </w:r>
          </w:p>
        </w:tc>
      </w:tr>
      <w:tr>
        <w:trPr>
          <w:cantSplit/>
        </w:trPr>
        <w:tc>
          <w:tcPr>
            <w:tcW w:type="dxa" w:w="243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Application</w:t>
            </w:r>
          </w:p>
        </w:tc>
        <w:tc>
          <w:tcPr>
            <w:tcW w:type="dxa" w:w="2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90 days</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Long enough to avoid churn, short enough that revocation is rarely needed</w:t>
            </w:r>
          </w:p>
        </w:tc>
      </w:tr>
      <w:tr>
        <w:trPr>
          <w:cantSplit/>
        </w:trPr>
        <w:tc>
          <w:tcPr>
            <w:tcW w:type="dxa" w:w="243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Long-lived provider or agent</w:t>
            </w:r>
          </w:p>
        </w:tc>
        <w:tc>
          <w:tcPr>
            <w:tcW w:type="dxa" w:w="2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365 days</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Stable parties; the service caps this by default</w:t>
            </w:r>
          </w:p>
        </w:tc>
      </w:tr>
    </w:tbl>
    <w:p>
      <w:pPr>
        <w:spacing w:after="220" w:line="276"/>
      </w:pPr>
      <w:r>
        <w:rPr>
          <w:i/>
          <w:iCs/>
          <w:color w:val="595959"/>
          <w:sz w:val="17"/>
          <w:szCs w:val="17"/>
        </w:rPr>
        <w:t xml:space="preserve">Table 4.1 — Recommended lifetimes</w:t>
      </w:r>
    </w:p>
    <w:p>
      <w:pPr>
        <w:spacing w:after="140" w:line="276"/>
      </w:pPr>
      <w:r>
        <w:rPr>
          <w:color w:val="1A1A1A"/>
          <w:sz w:val="21"/>
          <w:szCs w:val="21"/>
        </w:rPr>
        <w:t xml:space="preserve">The service refuses to sign beyond its configured maximum, which is a deliberate guard against an operator setting a large number to avoid future work. Expiry is the primary revocation mechanism in this design, so long lifetimes shift weight onto the revocation list, which is the mechanism with the worse latency.</w:t>
      </w:r>
    </w:p>
    <w:p>
      <w:r>
        <w:br w:type="page"/>
      </w:r>
    </w:p>
    <w:p>
      <w:pPr>
        <w:pStyle w:val="Heading1"/>
        <w:spacing w:after="200" w:before="400"/>
      </w:pPr>
      <w:r>
        <w:rPr>
          <w:b/>
          <w:bCs/>
          <w:color w:val="1A1A1A"/>
          <w:sz w:val="34"/>
          <w:szCs w:val="34"/>
        </w:rPr>
        <w:t xml:space="preserve">5  Key architecture</w:t>
      </w:r>
    </w:p>
    <w:p>
      <w:pPr>
        <w:pStyle w:val="Heading2"/>
        <w:spacing w:after="140" w:before="320"/>
      </w:pPr>
      <w:r>
        <w:rPr>
          <w:b/>
          <w:bCs/>
          <w:color w:val="1A1A1A"/>
          <w:sz w:val="26"/>
          <w:szCs w:val="26"/>
        </w:rPr>
        <w:t xml:space="preserve">5.1  The problem with one key</w:t>
      </w:r>
    </w:p>
    <w:p>
      <w:pPr>
        <w:spacing w:after="140" w:line="276"/>
      </w:pPr>
      <w:r>
        <w:rPr>
          <w:color w:val="1A1A1A"/>
          <w:sz w:val="21"/>
          <w:szCs w:val="21"/>
        </w:rPr>
        <w:t xml:space="preserve">The wider AAA design assumes the issuer key is offline, because a key inside the cluster means that compromising the cluster yields the ability to mint any credential. Running optimusIssuer as a service contradicts that assumption directly, and pretending otherwise would be the weakest part of this document.</w:t>
      </w:r>
    </w:p>
    <w:p>
      <w:pPr>
        <w:spacing w:after="140" w:line="276"/>
      </w:pPr>
      <w:r>
        <w:rPr>
          <w:color w:val="1A1A1A"/>
          <w:sz w:val="21"/>
          <w:szCs w:val="21"/>
        </w:rPr>
        <w:t xml:space="preserve">The resolution is not to put the key back on a laptop and abandon the service, but to use two keys with very different exposure.</w:t>
      </w:r>
    </w:p>
    <w:p>
      <w:pPr>
        <w:spacing w:after="80" w:before="160" w:line="240" w:lineRule="auto"/>
        <w:jc w:val="center"/>
      </w:pPr>
      <w:r>
        <w:drawing>
          <wp:inline distT="0" distB="0" distL="0" distR="0">
            <wp:extent cx="5848350" cy="1905000"/>
            <wp:effectExtent t="0" r="0" b="0" l="0"/>
            <wp:docPr id="10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 descr=""/>
                    <pic:cNvPicPr>
                      <a:picLocks noChangeAspect="1" noChangeArrowheads="1"/>
                    </pic:cNvPicPr>
                  </pic:nvPicPr>
                  <pic:blipFill>
                    <a:blip r:embed="rId10" cstate="none"/>
                    <a:srcRect/>
                    <a:stretch>
                      <a:fillRect/>
                    </a:stretch>
                  </pic:blipFill>
                  <pic:spPr bwMode="auto">
                    <a:xfrm>
                      <a:off x="0" y="0"/>
                      <a:ext cx="5848350" cy="1905000"/>
                    </a:xfrm>
                    <a:prstGeom prst="rect">
                      <a:avLst/>
                    </a:prstGeom>
                  </pic:spPr>
                </pic:pic>
              </a:graphicData>
            </a:graphic>
          </wp:inline>
        </w:drawing>
      </w:r>
    </w:p>
    <w:p>
      <w:pPr>
        <w:spacing w:after="240"/>
        <w:jc w:val="center"/>
      </w:pPr>
      <w:r>
        <w:rPr>
          <w:i/>
          <w:iCs/>
          <w:color w:val="595959"/>
          <w:sz w:val="17"/>
          <w:szCs w:val="17"/>
        </w:rPr>
        <w:t xml:space="preserve">Figure 5.1 — Two keys, two exposures. The root key authorises the service key and is then put away.</w:t>
      </w:r>
    </w:p>
    <w:p>
      <w:pPr>
        <w:pStyle w:val="Heading2"/>
        <w:spacing w:after="140" w:before="320"/>
      </w:pPr>
      <w:r>
        <w:rPr>
          <w:b/>
          <w:bCs/>
          <w:color w:val="1A1A1A"/>
          <w:sz w:val="26"/>
          <w:szCs w:val="26"/>
        </w:rPr>
        <w:t xml:space="preserve">5.2  The two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tblHeader/>
        </w:trPr>
        <w:tc>
          <w:tcPr>
            <w:tcW w:type="dxa" w:w="187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
            </w:r>
          </w:p>
        </w:tc>
        <w:tc>
          <w:tcPr>
            <w:tcW w:type="dxa" w:w="374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Root issuer</w:t>
            </w:r>
          </w:p>
        </w:tc>
        <w:tc>
          <w:tcPr>
            <w:tcW w:type="dxa" w:w="374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Service issuer</w:t>
            </w:r>
          </w:p>
        </w:tc>
      </w:tr>
      <w:tr>
        <w:trPr>
          <w:cantSplit/>
        </w:trPr>
        <w:tc>
          <w:tcPr>
            <w:tcW w:type="dxa" w:w="187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Location</w:t>
            </w:r>
          </w:p>
        </w:tc>
        <w:tc>
          <w:tcPr>
            <w:tcW w:type="dxa" w:w="374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Offline, outside the cluster</w:t>
            </w:r>
          </w:p>
        </w:tc>
        <w:tc>
          <w:tcPr>
            <w:tcW w:type="dxa" w:w="374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Kubernetes Secret, mounted read-only</w:t>
            </w:r>
          </w:p>
        </w:tc>
      </w:tr>
      <w:tr>
        <w:trPr>
          <w:cantSplit/>
        </w:trPr>
        <w:tc>
          <w:tcPr>
            <w:tcW w:type="dxa" w:w="187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Signs</w:t>
            </w:r>
          </w:p>
        </w:tc>
        <w:tc>
          <w:tcPr>
            <w:tcW w:type="dxa" w:w="374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One trust-list entry, plus emergency revocations</w:t>
            </w:r>
          </w:p>
        </w:tc>
        <w:tc>
          <w:tcPr>
            <w:tcW w:type="dxa" w:w="374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Day-to-day application credentials</w:t>
            </w:r>
          </w:p>
        </w:tc>
      </w:tr>
      <w:tr>
        <w:trPr>
          <w:cantSplit/>
        </w:trPr>
        <w:tc>
          <w:tcPr>
            <w:tcW w:type="dxa" w:w="187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Used</w:t>
            </w:r>
          </w:p>
        </w:tc>
        <w:tc>
          <w:tcPr>
            <w:tcW w:type="dxa" w:w="374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Once at bootstrap; rarely thereafter</w:t>
            </w:r>
          </w:p>
        </w:tc>
        <w:tc>
          <w:tcPr>
            <w:tcW w:type="dxa" w:w="374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Continuously</w:t>
            </w:r>
          </w:p>
        </w:tc>
      </w:tr>
      <w:tr>
        <w:trPr>
          <w:cantSplit/>
        </w:trPr>
        <w:tc>
          <w:tcPr>
            <w:tcW w:type="dxa" w:w="187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Exposure</w:t>
            </w:r>
          </w:p>
        </w:tc>
        <w:tc>
          <w:tcPr>
            <w:tcW w:type="dxa" w:w="374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Physical only</w:t>
            </w:r>
          </w:p>
        </w:tc>
        <w:tc>
          <w:tcPr>
            <w:tcW w:type="dxa" w:w="374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Anything that reads the Secret or the process memory</w:t>
            </w:r>
          </w:p>
        </w:tc>
      </w:tr>
      <w:tr>
        <w:trPr>
          <w:cantSplit/>
        </w:trPr>
        <w:tc>
          <w:tcPr>
            <w:tcW w:type="dxa" w:w="187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If compromised</w:t>
            </w:r>
          </w:p>
        </w:tc>
        <w:tc>
          <w:tcPr>
            <w:tcW w:type="dxa" w:w="374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No recovery inside the system</w:t>
            </w:r>
          </w:p>
        </w:tc>
        <w:tc>
          <w:tcPr>
            <w:tcW w:type="dxa" w:w="374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The root key marks it inactive</w:t>
            </w:r>
          </w:p>
        </w:tc>
      </w:tr>
      <w:tr>
        <w:trPr>
          <w:cantSplit/>
        </w:trPr>
        <w:tc>
          <w:tcPr>
            <w:tcW w:type="dxa" w:w="187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Rotation</w:t>
            </w:r>
          </w:p>
        </w:tc>
        <w:tc>
          <w:tcPr>
            <w:tcW w:type="dxa" w:w="374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Requires a new genesis list and an agent restart</w:t>
            </w:r>
          </w:p>
        </w:tc>
        <w:tc>
          <w:tcPr>
            <w:tcW w:type="dxa" w:w="374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A Secret update and a pod restart</w:t>
            </w:r>
          </w:p>
        </w:tc>
      </w:tr>
    </w:tbl>
    <w:p>
      <w:pPr>
        <w:spacing w:after="220" w:line="276"/>
      </w:pPr>
      <w:r>
        <w:rPr>
          <w:i/>
          <w:iCs/>
          <w:color w:val="595959"/>
          <w:sz w:val="17"/>
          <w:szCs w:val="17"/>
        </w:rPr>
        <w:t xml:space="preserve">Table 5.1 — The two issuer keys compared</w:t>
      </w:r>
    </w:p>
    <w:p>
      <w:pPr>
        <w:pStyle w:val="Heading2"/>
        <w:spacing w:after="140" w:before="320"/>
      </w:pPr>
      <w:r>
        <w:rPr>
          <w:b/>
          <w:bCs/>
          <w:color w:val="1A1A1A"/>
          <w:sz w:val="26"/>
          <w:szCs w:val="26"/>
        </w:rPr>
        <w:t xml:space="preserve">5.3  What the root key buys</w:t>
      </w:r>
    </w:p>
    <w:p>
      <w:pPr>
        <w:spacing w:after="140" w:line="276"/>
      </w:pPr>
      <w:r>
        <w:rPr>
          <w:color w:val="1A1A1A"/>
          <w:sz w:val="21"/>
          <w:szCs w:val="21"/>
        </w:rPr>
        <w:t xml:space="preserve">If the service key is compromised, the root key signs a single record setting that issuer's status to inactive. The record replicates through kbtrust and every agent stops accepting every credential the service key ever signed — without redeploying anything, restarting anything or editing a ConfigMap.</w:t>
      </w:r>
    </w:p>
    <w:p>
      <w:pPr>
        <w:spacing w:after="140" w:line="276"/>
      </w:pPr>
      <w:r>
        <w:rPr>
          <w:color w:val="1A1A1A"/>
          <w:sz w:val="21"/>
          <w:szCs w:val="21"/>
        </w:rPr>
        <w:t xml:space="preserve">Without the root tier, the same recovery means producing a new genesis list, applying it to the agents' namespace and restarting all three agents, because no key remains with authority to revoke. A single issuer is not a single point of failure for verification, but it is one for recovery, and recovery is when a single point of failure hurts most.</w:t>
      </w:r>
    </w:p>
    <w:p>
      <w:pPr>
        <w:pStyle w:val="Heading2"/>
        <w:spacing w:after="140" w:before="320"/>
      </w:pPr>
      <w:r>
        <w:rPr>
          <w:b/>
          <w:bCs/>
          <w:color w:val="1A1A1A"/>
          <w:sz w:val="26"/>
          <w:szCs w:val="26"/>
        </w:rPr>
        <w:t xml:space="preserve">5.4  Key file format and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"did": "did:key:z6MkhaXgBZDvotDkL5257faiztiGiC2QtKLGpbnnEGta2doK",</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"keyType": "Ed25519",</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"created": "2026-09-17T09:00:00Z",</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"label": "optimusIssuer service key",</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"privateKeyMultibase": "z3u2en7t5LR2WtQH5PfFqMqCHqGSVGXLnkYmbEpJXVnAAgSPM"</w:t>
            </w:r>
          </w:p>
        </w:tc>
      </w:tr>
      <w:tr>
        <w:trPr>
          <w:cantSplit/>
        </w:trPr>
        <w:tc>
          <w:tcPr>
            <w:tcW w:type="dxa" w:w="9360"/>
            <w:tcBorders>
              <w:top w:val="none" w:color="auto" w:sz="0"/>
              <w:left w:val="single" w:color="BFBFBF" w:sz="4"/>
              <w:bottom w:val="single" w:color="BFBFBF" w:sz="4"/>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w:t>
            </w:r>
          </w:p>
        </w:tc>
      </w:tr>
    </w:tbl>
    <w:p>
      <w:pPr>
        <w:spacing w:after="200" w:line="276"/>
      </w:pPr>
      <w:r>
        <w:rPr>
          <w:i/>
          <w:iCs/>
          <w:color w:val="595959"/>
          <w:sz w:val="17"/>
          <w:szCs w:val="17"/>
        </w:rPr>
        <w:t xml:space="preserve">Listing 5.1 — A key file. Only privateKeyMultibase is secret.</w:t>
      </w:r>
    </w:p>
    <w:p>
      <w:pPr>
        <w:spacing w:after="140" w:line="276"/>
      </w:pPr>
      <w:r>
        <w:rPr>
          <w:color w:val="1A1A1A"/>
          <w:sz w:val="21"/>
          <w:szCs w:val="21"/>
        </w:rPr>
        <w:t xml:space="preserve">The service refuses to start if the file is readable by group or others. An issuer key with loose permissions is equivalent to a published key, and the failure is otherwise silent — nothing goes wrong until someone notices credentials they did not authorise.</w:t>
      </w:r>
    </w:p>
    <w:p>
      <w:pPr>
        <w:spacing w:after="140" w:line="276"/>
      </w:pPr>
      <w:r>
        <w:rPr>
          <w:color w:val="1A1A1A"/>
          <w:sz w:val="21"/>
          <w:szCs w:val="21"/>
        </w:rPr>
        <w:t xml:space="preserve">The key is mounted as a file rather than supplied as an environment variable. Environment variables appear in a pod description, in crash dumps and in the environment of any child process, and none of those exposures is obvious when the deployment is written.</w:t>
      </w:r>
    </w:p>
    <w:p>
      <w:pPr>
        <w:pStyle w:val="Heading2"/>
        <w:spacing w:after="140" w:before="320"/>
      </w:pPr>
      <w:r>
        <w:rPr>
          <w:b/>
          <w:bCs/>
          <w:color w:val="1A1A1A"/>
          <w:sz w:val="26"/>
          <w:szCs w:val="26"/>
        </w:rPr>
        <w:t xml:space="preserve">5.5  Rotation</w:t>
      </w:r>
    </w:p>
    <w:p>
      <w:pPr>
        <w:pStyle w:val="Heading3"/>
        <w:spacing w:after="110" w:before="240"/>
      </w:pPr>
      <w:r>
        <w:rPr>
          <w:b/>
          <w:bCs/>
          <w:color w:val="1A1A1A"/>
          <w:sz w:val="22"/>
          <w:szCs w:val="22"/>
        </w:rPr>
        <w:t xml:space="preserve">5.5.1  Rotating the service key</w:t>
      </w:r>
    </w:p>
    <w:p>
      <w:pPr>
        <w:pStyle w:val="ListParagraph"/>
        <w:numPr>
          <w:ilvl w:val="0"/>
          <w:numId w:val="2"/>
        </w:numPr>
        <w:spacing w:after="90" w:line="276"/>
      </w:pPr>
      <w:r>
        <w:rPr>
          <w:color w:val="1A1A1A"/>
          <w:sz w:val="21"/>
          <w:szCs w:val="21"/>
        </w:rPr>
        <w:t xml:space="preserve">Generate a new service key with issuerctl on the machine holding the root key.</w:t>
      </w:r>
    </w:p>
    <w:p>
      <w:pPr>
        <w:pStyle w:val="ListParagraph"/>
        <w:numPr>
          <w:ilvl w:val="0"/>
          <w:numId w:val="2"/>
        </w:numPr>
        <w:spacing w:after="90" w:line="276"/>
      </w:pPr>
      <w:r>
        <w:rPr>
          <w:color w:val="1A1A1A"/>
          <w:sz w:val="21"/>
          <w:szCs w:val="21"/>
        </w:rPr>
        <w:t xml:space="preserve">Sign a trust-list record for the new DID, status active, using the root key.</w:t>
      </w:r>
    </w:p>
    <w:p>
      <w:pPr>
        <w:pStyle w:val="ListParagraph"/>
        <w:numPr>
          <w:ilvl w:val="0"/>
          <w:numId w:val="2"/>
        </w:numPr>
        <w:spacing w:after="90" w:line="276"/>
      </w:pPr>
      <w:r>
        <w:rPr>
          <w:color w:val="1A1A1A"/>
          <w:sz w:val="21"/>
          <w:szCs w:val="21"/>
        </w:rPr>
        <w:t xml:space="preserve">Write that record through any agent; it replicates.</w:t>
      </w:r>
    </w:p>
    <w:p>
      <w:pPr>
        <w:pStyle w:val="ListParagraph"/>
        <w:numPr>
          <w:ilvl w:val="0"/>
          <w:numId w:val="2"/>
        </w:numPr>
        <w:spacing w:after="90" w:line="276"/>
      </w:pPr>
      <w:r>
        <w:rPr>
          <w:color w:val="1A1A1A"/>
          <w:sz w:val="21"/>
          <w:szCs w:val="21"/>
        </w:rPr>
        <w:t xml:space="preserve">Replace the Kubernetes Secret and restart the Deployment.</w:t>
      </w:r>
    </w:p>
    <w:p>
      <w:pPr>
        <w:pStyle w:val="ListParagraph"/>
        <w:numPr>
          <w:ilvl w:val="0"/>
          <w:numId w:val="2"/>
        </w:numPr>
        <w:spacing w:after="90" w:line="276"/>
      </w:pPr>
      <w:r>
        <w:rPr>
          <w:color w:val="1A1A1A"/>
          <w:sz w:val="21"/>
          <w:szCs w:val="21"/>
        </w:rPr>
        <w:t xml:space="preserve">Sign a record setting the previous service DID to inactive.</w:t>
      </w:r>
    </w:p>
    <w:p>
      <w:pPr>
        <w:pStyle w:val="ListParagraph"/>
        <w:numPr>
          <w:ilvl w:val="0"/>
          <w:numId w:val="2"/>
        </w:numPr>
        <w:spacing w:after="90" w:line="276"/>
      </w:pPr>
      <w:r>
        <w:rPr>
          <w:color w:val="1A1A1A"/>
          <w:sz w:val="21"/>
          <w:szCs w:val="21"/>
        </w:rPr>
        <w:t xml:space="preserve">Reissue credentials still in use before their expiry, or accept that they stop verifying at step 5.</w:t>
      </w:r>
    </w:p>
    <w:p>
      <w:pPr>
        <w:spacing w:after="140" w:line="276"/>
      </w:pPr>
      <w:r>
        <w:rPr>
          <w:color w:val="1A1A1A"/>
          <w:sz w:val="21"/>
          <w:szCs w:val="21"/>
        </w:rPr>
        <w:t xml:space="preserve">Step 6 is the one that requires planning. Marking the old issuer inactive invalidates every credential it signed, so either reissue first or schedule the change to coincide with a natural expiry window.</w:t>
      </w:r>
    </w:p>
    <w:p>
      <w:pPr>
        <w:pStyle w:val="Heading3"/>
        <w:spacing w:after="110" w:before="240"/>
      </w:pPr>
      <w:r>
        <w:rPr>
          <w:b/>
          <w:bCs/>
          <w:color w:val="1A1A1A"/>
          <w:sz w:val="22"/>
          <w:szCs w:val="22"/>
        </w:rPr>
        <w:t xml:space="preserve">5.5.2  Rotating the root key</w:t>
      </w:r>
    </w:p>
    <w:p>
      <w:pPr>
        <w:spacing w:after="140" w:line="276"/>
      </w:pPr>
      <w:r>
        <w:rPr>
          <w:color w:val="1A1A1A"/>
          <w:sz w:val="21"/>
          <w:szCs w:val="21"/>
        </w:rPr>
        <w:t xml:space="preserve">Rarely required and more intrusive. A new genesis list must be produced and applied to the agents, and every agent restarted to read it. Because the genesis list is only consulted when kbtrust holds no trusted issuer records, an existing deployment will also need the new root recorded through the normal path before the old one is deactivated.</w:t>
      </w:r>
    </w:p>
    <w:p>
      <w:r>
        <w:br w:type="page"/>
      </w:r>
    </w:p>
    <w:p>
      <w:pPr>
        <w:pStyle w:val="Heading1"/>
        <w:spacing w:after="200" w:before="400"/>
      </w:pPr>
      <w:r>
        <w:rPr>
          <w:b/>
          <w:bCs/>
          <w:color w:val="1A1A1A"/>
          <w:sz w:val="34"/>
          <w:szCs w:val="34"/>
        </w:rPr>
        <w:t xml:space="preserve">6  Security</w:t>
      </w:r>
    </w:p>
    <w:p>
      <w:pPr>
        <w:pStyle w:val="Heading2"/>
        <w:spacing w:after="140" w:before="320"/>
      </w:pPr>
      <w:r>
        <w:rPr>
          <w:b/>
          <w:bCs/>
          <w:color w:val="1A1A1A"/>
          <w:sz w:val="26"/>
          <w:szCs w:val="26"/>
        </w:rPr>
        <w:t xml:space="preserve">6.1  Threat surface</w:t>
      </w:r>
    </w:p>
    <w:p>
      <w:pPr>
        <w:spacing w:after="80" w:before="160" w:line="240" w:lineRule="auto"/>
        <w:jc w:val="center"/>
      </w:pPr>
      <w:r>
        <w:drawing>
          <wp:inline distT="0" distB="0" distL="0" distR="0">
            <wp:extent cx="5848350" cy="2981325"/>
            <wp:effectExtent t="0" r="0" b="0" l="0"/>
            <wp:docPr id="10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 descr=""/>
                    <pic:cNvPicPr>
                      <a:picLocks noChangeAspect="1" noChangeArrowheads="1"/>
                    </pic:cNvPicPr>
                  </pic:nvPicPr>
                  <pic:blipFill>
                    <a:blip r:embed="rId11" cstate="none"/>
                    <a:srcRect/>
                    <a:stretch>
                      <a:fillRect/>
                    </a:stretch>
                  </pic:blipFill>
                  <pic:spPr bwMode="auto">
                    <a:xfrm>
                      <a:off x="0" y="0"/>
                      <a:ext cx="5848350" cy="2981325"/>
                    </a:xfrm>
                    <a:prstGeom prst="rect">
                      <a:avLst/>
                    </a:prstGeom>
                  </pic:spPr>
                </pic:pic>
              </a:graphicData>
            </a:graphic>
          </wp:inline>
        </w:drawing>
      </w:r>
    </w:p>
    <w:p>
      <w:pPr>
        <w:spacing w:after="240"/>
        <w:jc w:val="center"/>
      </w:pPr>
      <w:r>
        <w:rPr>
          <w:i/>
          <w:iCs/>
          <w:color w:val="595959"/>
          <w:sz w:val="17"/>
          <w:szCs w:val="17"/>
        </w:rPr>
        <w:t xml:space="preserve">Figure 6.1 — What an attacker gains from each compromise, and what limits it.</w:t>
      </w:r>
    </w:p>
    <w:p>
      <w:pPr>
        <w:pStyle w:val="Heading2"/>
        <w:spacing w:after="140" w:before="320"/>
      </w:pPr>
      <w:r>
        <w:rPr>
          <w:b/>
          <w:bCs/>
          <w:color w:val="1A1A1A"/>
          <w:sz w:val="26"/>
          <w:szCs w:val="26"/>
        </w:rPr>
        <w:t xml:space="preserve">6.2  Controls in the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6178"/>
      </w:tblGrid>
      <w:tr>
        <w:trPr>
          <w:tblHeader/>
        </w:trPr>
        <w:tc>
          <w:tcPr>
            <w:tcW w:type="dxa" w:w="318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Control</w:t>
            </w:r>
          </w:p>
        </w:tc>
        <w:tc>
          <w:tcPr>
            <w:tcW w:type="dxa" w:w="617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Implementation</w:t>
            </w:r>
          </w:p>
        </w:tc>
      </w:tr>
      <w:tr>
        <w:trPr>
          <w:cantSplit/>
        </w:trPr>
        <w:tc>
          <w:tcPr>
            <w:tcW w:type="dxa" w:w="318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Key never in an environment variable</w:t>
            </w:r>
          </w:p>
        </w:tc>
        <w:tc>
          <w:tcPr>
            <w:tcW w:type="dxa" w:w="61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Mounted as a file at /etc/issuer/key, mode 0400</w:t>
            </w:r>
          </w:p>
        </w:tc>
      </w:tr>
      <w:tr>
        <w:trPr>
          <w:cantSplit/>
        </w:trPr>
        <w:tc>
          <w:tcPr>
            <w:tcW w:type="dxa" w:w="318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Refuses loose file permissions</w:t>
            </w:r>
          </w:p>
        </w:tc>
        <w:tc>
          <w:tcPr>
            <w:tcW w:type="dxa" w:w="61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keys.Load rejects any mode with group or other bits set</w:t>
            </w:r>
          </w:p>
        </w:tc>
      </w:tr>
      <w:tr>
        <w:trPr>
          <w:cantSplit/>
        </w:trPr>
        <w:tc>
          <w:tcPr>
            <w:tcW w:type="dxa" w:w="318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Non-root, read-only root filesystem</w:t>
            </w:r>
          </w:p>
        </w:tc>
        <w:tc>
          <w:tcPr>
            <w:tcW w:type="dxa" w:w="61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runAsUser 10001, readOnlyRootFilesystem, all capabilities dropped</w:t>
            </w:r>
          </w:p>
        </w:tc>
      </w:tr>
      <w:tr>
        <w:trPr>
          <w:cantSplit/>
        </w:trPr>
        <w:tc>
          <w:tcPr>
            <w:tcW w:type="dxa" w:w="318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Restricted egress</w:t>
            </w:r>
          </w:p>
        </w:tc>
        <w:tc>
          <w:tcPr>
            <w:tcW w:type="dxa" w:w="61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NetworkPolicy allows only the agents, Keycloak and DNS</w:t>
            </w:r>
          </w:p>
        </w:tc>
      </w:tr>
      <w:tr>
        <w:trPr>
          <w:cantSplit/>
        </w:trPr>
        <w:tc>
          <w:tcPr>
            <w:tcW w:type="dxa" w:w="318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No inbound from the agents</w:t>
            </w:r>
          </w:p>
        </w:tc>
        <w:tc>
          <w:tcPr>
            <w:tcW w:type="dxa" w:w="61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NetworkPolicy ingress permits only the ingress controller namespace</w:t>
            </w:r>
          </w:p>
        </w:tc>
      </w:tr>
      <w:tr>
        <w:trPr>
          <w:cantSplit/>
        </w:trPr>
        <w:tc>
          <w:tcPr>
            <w:tcW w:type="dxa" w:w="318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Single replica</w:t>
            </w:r>
          </w:p>
        </w:tc>
        <w:tc>
          <w:tcPr>
            <w:tcW w:type="dxa" w:w="61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One copy of the key in memory; Recreate strategy</w:t>
            </w:r>
          </w:p>
        </w:tc>
      </w:tr>
      <w:tr>
        <w:trPr>
          <w:cantSplit/>
        </w:trPr>
        <w:tc>
          <w:tcPr>
            <w:tcW w:type="dxa" w:w="318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Self-verification at issuance</w:t>
            </w:r>
          </w:p>
        </w:tc>
        <w:tc>
          <w:tcPr>
            <w:tcW w:type="dxa" w:w="61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Every credential verified with the agent's code before it is returned</w:t>
            </w:r>
          </w:p>
        </w:tc>
      </w:tr>
      <w:tr>
        <w:trPr>
          <w:cantSplit/>
        </w:trPr>
        <w:tc>
          <w:tcPr>
            <w:tcW w:type="dxa" w:w="318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Two-operator control for wildcards</w:t>
            </w:r>
          </w:p>
        </w:tc>
        <w:tc>
          <w:tcPr>
            <w:tcW w:type="dxa" w:w="61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Configurable; refuses single-operator approval of a wildcard capability</w:t>
            </w:r>
          </w:p>
        </w:tc>
      </w:tr>
      <w:tr>
        <w:trPr>
          <w:cantSplit/>
        </w:trPr>
        <w:tc>
          <w:tcPr>
            <w:tcW w:type="dxa" w:w="318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Policy ceiling on validity</w:t>
            </w:r>
          </w:p>
        </w:tc>
        <w:tc>
          <w:tcPr>
            <w:tcW w:type="dxa" w:w="61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The service will not sign beyond its configured maximum</w:t>
            </w:r>
          </w:p>
        </w:tc>
      </w:tr>
      <w:tr>
        <w:trPr>
          <w:cantSplit/>
        </w:trPr>
        <w:tc>
          <w:tcPr>
            <w:tcW w:type="dxa" w:w="318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Action allow-list</w:t>
            </w:r>
          </w:p>
        </w:tc>
        <w:tc>
          <w:tcPr>
            <w:tcW w:type="dxa" w:w="61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Optional bound on what this issuer may grant at all</w:t>
            </w:r>
          </w:p>
        </w:tc>
      </w:tr>
      <w:tr>
        <w:trPr>
          <w:cantSplit/>
        </w:trPr>
        <w:tc>
          <w:tcPr>
            <w:tcW w:type="dxa" w:w="318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Audit of every decision</w:t>
            </w:r>
          </w:p>
        </w:tc>
        <w:tc>
          <w:tcPr>
            <w:tcW w:type="dxa" w:w="61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Written to the process log and to kbissuance</w:t>
            </w:r>
          </w:p>
        </w:tc>
      </w:tr>
    </w:tbl>
    <w:p>
      <w:pPr>
        <w:spacing w:after="220" w:line="276"/>
      </w:pPr>
      <w:r>
        <w:rPr>
          <w:i/>
          <w:iCs/>
          <w:color w:val="595959"/>
          <w:sz w:val="17"/>
          <w:szCs w:val="17"/>
        </w:rPr>
        <w:t xml:space="preserve">Table 6.1 — Implemented controls</w:t>
      </w:r>
    </w:p>
    <w:p>
      <w:pPr>
        <w:pStyle w:val="Heading2"/>
        <w:spacing w:after="140" w:before="320"/>
      </w:pPr>
      <w:r>
        <w:rPr>
          <w:b/>
          <w:bCs/>
          <w:color w:val="1A1A1A"/>
          <w:sz w:val="26"/>
          <w:szCs w:val="26"/>
        </w:rPr>
        <w:t xml:space="preserve">6.3  Residual risks</w:t>
      </w:r>
    </w:p>
    <w:p>
      <w:pPr>
        <w:pStyle w:val="ListParagraph"/>
        <w:numPr>
          <w:ilvl w:val="0"/>
          <w:numId w:val="2"/>
        </w:numPr>
        <w:spacing w:after="90" w:line="276"/>
      </w:pPr>
      <w:r>
        <w:rPr>
          <w:color w:val="1A1A1A"/>
          <w:sz w:val="21"/>
          <w:szCs w:val="21"/>
        </w:rPr>
        <w:t xml:space="preserve">An operator with the admin role can add a trusted issuer, which delegates the ability to grant capabilities. This is by design and is why the role is separated; it is mitigated by audit rather than by prevention.</w:t>
      </w:r>
    </w:p>
    <w:p>
      <w:pPr>
        <w:pStyle w:val="ListParagraph"/>
        <w:numPr>
          <w:ilvl w:val="0"/>
          <w:numId w:val="2"/>
        </w:numPr>
        <w:spacing w:after="90" w:line="276"/>
      </w:pPr>
      <w:r>
        <w:rPr>
          <w:color w:val="1A1A1A"/>
          <w:sz w:val="21"/>
          <w:szCs w:val="21"/>
        </w:rPr>
        <w:t xml:space="preserve">A compromise of the running container exposes the service key in memory even with the file mounted read-only. The two-tier model bounds the consequence but does not prevent the exposure.</w:t>
      </w:r>
    </w:p>
    <w:p>
      <w:pPr>
        <w:pStyle w:val="ListParagraph"/>
        <w:numPr>
          <w:ilvl w:val="0"/>
          <w:numId w:val="2"/>
        </w:numPr>
        <w:spacing w:after="90" w:line="276"/>
      </w:pPr>
      <w:r>
        <w:rPr>
          <w:color w:val="1A1A1A"/>
          <w:sz w:val="21"/>
          <w:szCs w:val="21"/>
        </w:rPr>
        <w:t xml:space="preserve">Revocation is not immediate. An attacker who mints credentials and is detected within minutes still has a window in which those credentials verify.</w:t>
      </w:r>
    </w:p>
    <w:p>
      <w:pPr>
        <w:pStyle w:val="ListParagraph"/>
        <w:numPr>
          <w:ilvl w:val="0"/>
          <w:numId w:val="2"/>
        </w:numPr>
        <w:spacing w:after="90" w:line="276"/>
      </w:pPr>
      <w:r>
        <w:rPr>
          <w:color w:val="1A1A1A"/>
          <w:sz w:val="21"/>
          <w:szCs w:val="21"/>
        </w:rPr>
        <w:t xml:space="preserve">The interface is served by the same process that holds the key. A defect in the static file handler is therefore a defect in the key-holding process. The handler is small and serves only embedded files, which is the mitigation.</w:t>
      </w:r>
    </w:p>
    <w:p>
      <w:pPr>
        <w:pStyle w:val="ListParagraph"/>
        <w:numPr>
          <w:ilvl w:val="0"/>
          <w:numId w:val="2"/>
        </w:numPr>
        <w:spacing w:after="90" w:line="276"/>
      </w:pPr>
      <w:r>
        <w:rPr>
          <w:color w:val="1A1A1A"/>
          <w:sz w:val="21"/>
          <w:szCs w:val="21"/>
        </w:rPr>
        <w:t xml:space="preserve">Keycloak compromise yields operator sessions. An attacker who can mint operator tokens can approve issuance. This is the one place where the centralised component still matters, and it argues for the second-approval control.</w:t>
      </w:r>
    </w:p>
    <w:p>
      <w:pPr>
        <w:pStyle w:val="Heading2"/>
        <w:spacing w:after="140" w:before="320"/>
      </w:pPr>
      <w:r>
        <w:rPr>
          <w:b/>
          <w:bCs/>
          <w:color w:val="1A1A1A"/>
          <w:sz w:val="26"/>
          <w:szCs w:val="26"/>
        </w:rPr>
        <w:t xml:space="preserve">6.4  What is explicitly not claimed</w:t>
      </w:r>
    </w:p>
    <w:p>
      <w:pPr>
        <w:spacing w:after="140" w:line="276"/>
      </w:pPr>
      <w:r>
        <w:rPr>
          <w:color w:val="1A1A1A"/>
          <w:sz w:val="21"/>
          <w:szCs w:val="21"/>
        </w:rPr>
        <w:t xml:space="preserve">This service does not make the system resistant to an attacker who controls the cluster. It makes such an attacker's actions visible and bounded: visible because every issuance is recorded in a replicated store, and bounded because the root key can withdraw the service issuer's authority wholesale.</w:t>
      </w:r>
    </w:p>
    <w:p>
      <w:pPr>
        <w:spacing w:after="140" w:line="276"/>
      </w:pPr>
      <w:r>
        <w:rPr>
          <w:color w:val="1A1A1A"/>
          <w:sz w:val="21"/>
          <w:szCs w:val="21"/>
        </w:rPr>
        <w:t xml:space="preserve">Nor does it remove the need to trust the party operating it. The design distributes the trust root across a list rather than eliminating it, and whoever holds the root key holds real power. Section 11 discusses what federation changes about that.</w:t>
      </w:r>
    </w:p>
    <w:p>
      <w:r>
        <w:br w:type="page"/>
      </w:r>
    </w:p>
    <w:p>
      <w:pPr>
        <w:pStyle w:val="Heading1"/>
        <w:spacing w:after="200" w:before="400"/>
      </w:pPr>
      <w:r>
        <w:rPr>
          <w:b/>
          <w:bCs/>
          <w:color w:val="1A1A1A"/>
          <w:sz w:val="34"/>
          <w:szCs w:val="34"/>
        </w:rPr>
        <w:t xml:space="preserve">7  API reference</w:t>
      </w:r>
    </w:p>
    <w:p>
      <w:pPr>
        <w:spacing w:after="140" w:line="276"/>
      </w:pPr>
      <w:r>
        <w:rPr>
          <w:color w:val="1A1A1A"/>
          <w:sz w:val="21"/>
          <w:szCs w:val="21"/>
        </w:rPr>
        <w:t xml:space="preserve">Base path /api/v1/issuer. All responses are JSON. Errors carry an error field with a message intended to be actionable.</w:t>
      </w:r>
    </w:p>
    <w:p>
      <w:pPr>
        <w:pStyle w:val="Heading2"/>
        <w:spacing w:after="140" w:before="320"/>
      </w:pPr>
      <w:r>
        <w:rPr>
          <w:b/>
          <w:bCs/>
          <w:color w:val="1A1A1A"/>
          <w:sz w:val="26"/>
          <w:szCs w:val="26"/>
        </w:rPr>
        <w:t xml:space="preserve">7.1  Public</w:t>
      </w:r>
    </w:p>
    <w:p>
      <w:pPr>
        <w:pStyle w:val="Heading3"/>
        <w:spacing w:after="110" w:before="240"/>
      </w:pPr>
      <w:r>
        <w:rPr>
          <w:b/>
          <w:bCs/>
          <w:color w:val="1A1A1A"/>
          <w:sz w:val="22"/>
          <w:szCs w:val="22"/>
        </w:rPr>
        <w:t xml:space="preserve">GET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200 OK</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"status": "ok",</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"issuer_did": "did:key:z6MkhaXg...",</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"agent": "reachable",</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"time": "2026-09-17T09:00:00Z"</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w:t>
            </w:r>
          </w:p>
        </w:tc>
      </w:tr>
      <w:tr>
        <w:trPr>
          <w:cantSplit/>
        </w:trPr>
        <w:tc>
          <w:tcPr>
            <w:tcW w:type="dxa" w:w="9360"/>
            <w:tcBorders>
              <w:top w:val="none" w:color="auto" w:sz="0"/>
              <w:left w:val="single" w:color="BFBFBF" w:sz="4"/>
              <w:bottom w:val="single" w:color="BFBFBF" w:sz="4"/>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503 Service Unavailable   — the agent is unreachable; issuance will fail</w:t>
            </w:r>
          </w:p>
        </w:tc>
      </w:tr>
    </w:tbl>
    <w:p>
      <w:pPr>
        <w:spacing w:after="120" w:line="276"/>
      </w:pPr>
      <w:r>
        <w:rPr>
          <w:color w:val="1A1A1A"/>
          <w:sz w:val="21"/>
          <w:szCs w:val="21"/>
        </w:rPr>
        <w:t xml:space="preserve"/>
      </w:r>
    </w:p>
    <w:p>
      <w:pPr>
        <w:pStyle w:val="Heading3"/>
        <w:spacing w:after="110" w:before="240"/>
      </w:pPr>
      <w:r>
        <w:rPr>
          <w:b/>
          <w:bCs/>
          <w:color w:val="1A1A1A"/>
          <w:sz w:val="22"/>
          <w:szCs w:val="22"/>
        </w:rPr>
        <w:t xml:space="preserve">GET /info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200 OK</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"issuer_did": "did:key:z6MkhaXg...",</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"max_validity_days": 365,</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"default_validity_days": 90,</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"allowed_actions": []</w:t>
            </w:r>
          </w:p>
        </w:tc>
      </w:tr>
      <w:tr>
        <w:trPr>
          <w:cantSplit/>
        </w:trPr>
        <w:tc>
          <w:tcPr>
            <w:tcW w:type="dxa" w:w="9360"/>
            <w:tcBorders>
              <w:top w:val="none" w:color="auto" w:sz="0"/>
              <w:left w:val="single" w:color="BFBFBF" w:sz="4"/>
              <w:bottom w:val="single" w:color="BFBFBF" w:sz="4"/>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w:t>
            </w:r>
          </w:p>
        </w:tc>
      </w:tr>
    </w:tbl>
    <w:p>
      <w:pPr>
        <w:spacing w:after="120" w:line="276"/>
      </w:pPr>
      <w:r>
        <w:rPr>
          <w:color w:val="1A1A1A"/>
          <w:sz w:val="21"/>
          <w:szCs w:val="21"/>
        </w:rPr>
        <w:t xml:space="preserve"/>
      </w:r>
    </w:p>
    <w:p>
      <w:pPr>
        <w:pStyle w:val="Heading3"/>
        <w:spacing w:after="110" w:before="240"/>
      </w:pPr>
      <w:r>
        <w:rPr>
          <w:b/>
          <w:bCs/>
          <w:color w:val="1A1A1A"/>
          <w:sz w:val="22"/>
          <w:szCs w:val="22"/>
        </w:rPr>
        <w:t xml:space="preserve">POST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POST /api/v1/issuer/requests</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Content-Type: application/json</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"subject_did": "did:key:z6MkfMyApp9kWq2fT7nB4pL8sYdX1aH6uJ0eC5rNmQvT",</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"name": "Attica Solar Ingest",</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"organisation": "ICCS",</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"contact": "ops@iccs.example",</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"deployment": "epm-server, /opt/myapp",</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"justification": "Publishes dataset descriptors nightly",</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"requested_capabilities":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 "action": "crudput", "store": "kbmetadata"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 "action": "crudget", "store": "kbmetadata"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"requested_validity_days": 90</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202 Accepted</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"request_id": "req-4f2b9c1e",</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"status": "pending_approval",</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"message": "An operator must approve this request before a credential is</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signed. Nothing has been granted."</w:t>
            </w:r>
          </w:p>
        </w:tc>
      </w:tr>
      <w:tr>
        <w:trPr>
          <w:cantSplit/>
        </w:trPr>
        <w:tc>
          <w:tcPr>
            <w:tcW w:type="dxa" w:w="9360"/>
            <w:tcBorders>
              <w:top w:val="none" w:color="auto" w:sz="0"/>
              <w:left w:val="single" w:color="BFBFBF" w:sz="4"/>
              <w:bottom w:val="single" w:color="BFBFBF" w:sz="4"/>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w:t>
            </w:r>
          </w:p>
        </w:tc>
      </w:tr>
    </w:tbl>
    <w:p>
      <w:pPr>
        <w:spacing w:after="200" w:line="276"/>
      </w:pPr>
      <w:r>
        <w:rPr>
          <w:i/>
          <w:iCs/>
          <w:color w:val="595959"/>
          <w:sz w:val="17"/>
          <w:szCs w:val="17"/>
        </w:rPr>
        <w:t xml:space="preserve">Listing 7.1 — Submitting a request</w:t>
      </w:r>
    </w:p>
    <w:p>
      <w:pPr>
        <w:pStyle w:val="Heading2"/>
        <w:spacing w:after="140" w:before="320"/>
      </w:pPr>
      <w:r>
        <w:rPr>
          <w:b/>
          <w:bCs/>
          <w:color w:val="1A1A1A"/>
          <w:sz w:val="26"/>
          <w:szCs w:val="26"/>
        </w:rPr>
        <w:t xml:space="preserve">7.2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2995"/>
        <w:gridCol w:w="3370"/>
      </w:tblGrid>
      <w:tr>
        <w:trPr>
          <w:tblHeader/>
        </w:trPr>
        <w:tc>
          <w:tcPr>
            <w:tcW w:type="dxa" w:w="299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Method and path</w:t>
            </w:r>
          </w:p>
        </w:tc>
        <w:tc>
          <w:tcPr>
            <w:tcW w:type="dxa" w:w="299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Purpose</w:t>
            </w:r>
          </w:p>
        </w:tc>
        <w:tc>
          <w:tcPr>
            <w:tcW w:type="dxa" w:w="337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Notes</w:t>
            </w:r>
          </w:p>
        </w:tc>
      </w:tr>
      <w:tr>
        <w:trPr>
          <w:cantSplit/>
        </w:trPr>
        <w:tc>
          <w:tcPr>
            <w:tcW w:type="dxa" w:w="299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GET /requests</w:t>
            </w:r>
          </w:p>
        </w:tc>
        <w:tc>
          <w:tcPr>
            <w:tcW w:type="dxa" w:w="299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The approval queue</w:t>
            </w:r>
          </w:p>
        </w:tc>
        <w:tc>
          <w:tcPr>
            <w:tcW w:type="dxa" w:w="337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Filter with ?status=pending</w:t>
            </w:r>
          </w:p>
        </w:tc>
      </w:tr>
      <w:tr>
        <w:trPr>
          <w:cantSplit/>
        </w:trPr>
        <w:tc>
          <w:tcPr>
            <w:tcW w:type="dxa" w:w="299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POST /requests/{id}/approve</w:t>
            </w:r>
          </w:p>
        </w:tc>
        <w:tc>
          <w:tcPr>
            <w:tcW w:type="dxa" w:w="299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Approve and sign</w:t>
            </w:r>
          </w:p>
        </w:tc>
        <w:tc>
          <w:tcPr>
            <w:tcW w:type="dxa" w:w="337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Body carries the capabilities actually granted</w:t>
            </w:r>
          </w:p>
        </w:tc>
      </w:tr>
      <w:tr>
        <w:trPr>
          <w:cantSplit/>
        </w:trPr>
        <w:tc>
          <w:tcPr>
            <w:tcW w:type="dxa" w:w="299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POST /requests/{id}/reject</w:t>
            </w:r>
          </w:p>
        </w:tc>
        <w:tc>
          <w:tcPr>
            <w:tcW w:type="dxa" w:w="299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Reject</w:t>
            </w:r>
          </w:p>
        </w:tc>
        <w:tc>
          <w:tcPr>
            <w:tcW w:type="dxa" w:w="337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Body carries a reason, recorded</w:t>
            </w:r>
          </w:p>
        </w:tc>
      </w:tr>
      <w:tr>
        <w:trPr>
          <w:cantSplit/>
        </w:trPr>
        <w:tc>
          <w:tcPr>
            <w:tcW w:type="dxa" w:w="299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POST /credentials</w:t>
            </w:r>
          </w:p>
        </w:tc>
        <w:tc>
          <w:tcPr>
            <w:tcW w:type="dxa" w:w="299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Issue outside the queue</w:t>
            </w:r>
          </w:p>
        </w:tc>
        <w:tc>
          <w:tcPr>
            <w:tcW w:type="dxa" w:w="337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Same body shape as approve</w:t>
            </w:r>
          </w:p>
        </w:tc>
      </w:tr>
      <w:tr>
        <w:trPr>
          <w:cantSplit/>
        </w:trPr>
        <w:tc>
          <w:tcPr>
            <w:tcW w:type="dxa" w:w="299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GET /credentials</w:t>
            </w:r>
          </w:p>
        </w:tc>
        <w:tc>
          <w:tcPr>
            <w:tcW w:type="dxa" w:w="299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Everything issued</w:t>
            </w:r>
          </w:p>
        </w:tc>
        <w:tc>
          <w:tcPr>
            <w:tcW w:type="dxa" w:w="337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Includes status and expiry</w:t>
            </w:r>
          </w:p>
        </w:tc>
      </w:tr>
      <w:tr>
        <w:trPr>
          <w:cantSplit/>
        </w:trPr>
        <w:tc>
          <w:tcPr>
            <w:tcW w:type="dxa" w:w="299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POST /credentials/{id}/revoke</w:t>
            </w:r>
          </w:p>
        </w:tc>
        <w:tc>
          <w:tcPr>
            <w:tcW w:type="dxa" w:w="299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Revoke</w:t>
            </w:r>
          </w:p>
        </w:tc>
        <w:tc>
          <w:tcPr>
            <w:tcW w:type="dxa" w:w="337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Returns a note that this is not immediate</w:t>
            </w:r>
          </w:p>
        </w:tc>
      </w:tr>
      <w:tr>
        <w:trPr>
          <w:cantSplit/>
        </w:trPr>
        <w:tc>
          <w:tcPr>
            <w:tcW w:type="dxa" w:w="299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GET /trust</w:t>
            </w:r>
          </w:p>
        </w:tc>
        <w:tc>
          <w:tcPr>
            <w:tcW w:type="dxa" w:w="299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Read the trust list</w:t>
            </w:r>
          </w:p>
        </w:tc>
        <w:tc>
          <w:tcPr>
            <w:tcW w:type="dxa" w:w="337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From kbtrust</w:t>
            </w:r>
          </w:p>
        </w:tc>
      </w:tr>
      <w:tr>
        <w:trPr>
          <w:cantSplit/>
        </w:trPr>
        <w:tc>
          <w:tcPr>
            <w:tcW w:type="dxa" w:w="299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GET /audit</w:t>
            </w:r>
          </w:p>
        </w:tc>
        <w:tc>
          <w:tcPr>
            <w:tcW w:type="dxa" w:w="299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Recent actions</w:t>
            </w:r>
          </w:p>
        </w:tc>
        <w:tc>
          <w:tcPr>
            <w:tcW w:type="dxa" w:w="337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In-memory ring; lost on restart</w:t>
            </w:r>
          </w:p>
        </w:tc>
      </w:tr>
    </w:tbl>
    <w:p>
      <w:pPr>
        <w:spacing w:after="140" w:line="276"/>
      </w:pPr>
      <w:r>
        <w:rPr>
          <w:color w:val="1A1A1A"/>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POST /api/v1/issuer/requests/req-4f2b9c1e/approve</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Authorization: Bearer &lt;keycloak token&gt;</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"subject_did": "did:key:z6MkfMyApp9kWq2...",</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"name": "Attica Solar Ingest",</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"capabilities":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 "action": "crudget", "store": "kbmetadata"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"validity_days": 90</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w:t>
            </w:r>
          </w:p>
        </w:tc>
      </w:tr>
      <w:tr>
        <w:trPr>
          <w:cantSplit/>
        </w:trPr>
        <w:tc>
          <w:tcPr>
            <w:tcW w:type="dxa" w:w="9360"/>
            <w:tcBorders>
              <w:top w:val="none" w:color="auto" w:sz="0"/>
              <w:left w:val="single" w:color="BFBFBF" w:sz="4"/>
              <w:bottom w:val="single" w:color="BFBFBF" w:sz="4"/>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201 Created   — the full signed credential</w:t>
            </w:r>
          </w:p>
        </w:tc>
      </w:tr>
    </w:tbl>
    <w:p>
      <w:pPr>
        <w:spacing w:after="200" w:line="276"/>
      </w:pPr>
      <w:r>
        <w:rPr>
          <w:i/>
          <w:iCs/>
          <w:color w:val="595959"/>
          <w:sz w:val="17"/>
          <w:szCs w:val="17"/>
        </w:rPr>
        <w:t xml:space="preserve">Listing 7.2 — Approving, with the capability set narrowed from what was requested</w:t>
      </w:r>
    </w:p>
    <w:p>
      <w:pPr>
        <w:spacing w:after="140" w:line="276"/>
      </w:pPr>
      <w:r>
        <w:rPr>
          <w:color w:val="1A1A1A"/>
          <w:sz w:val="21"/>
          <w:szCs w:val="21"/>
        </w:rPr>
        <w:t xml:space="preserve">The capabilities in the approval body are authoritative, not those in the request. A request is a proposal; an operator who narrows it must not be overridden by what the applicant asked for.</w:t>
      </w:r>
    </w:p>
    <w:p>
      <w:pPr>
        <w:pStyle w:val="Heading2"/>
        <w:spacing w:after="140" w:before="320"/>
      </w:pPr>
      <w:r>
        <w:rPr>
          <w:b/>
          <w:bCs/>
          <w:color w:val="1A1A1A"/>
          <w:sz w:val="26"/>
          <w:szCs w:val="26"/>
        </w:rPr>
        <w:t xml:space="preserve">7.3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POST /api/v1/issuer/trust</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Authorization: Bearer &lt;keycloak token, issuer:admin&gt;</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"_id": "did:key:zSZTAKI...",</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"name": "SZTAKI Issuing Authority",</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"may_issue": ["OptimusDBCapability"],</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"max_delegation_depth": 2,</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"status": "active"</w:t>
            </w:r>
          </w:p>
        </w:tc>
      </w:tr>
      <w:tr>
        <w:trPr>
          <w:cantSplit/>
        </w:trPr>
        <w:tc>
          <w:tcPr>
            <w:tcW w:type="dxa" w:w="9360"/>
            <w:tcBorders>
              <w:top w:val="none" w:color="auto" w:sz="0"/>
              <w:left w:val="single" w:color="BFBFBF" w:sz="4"/>
              <w:bottom w:val="single" w:color="BFBFBF" w:sz="4"/>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w:t>
            </w:r>
          </w:p>
        </w:tc>
      </w:tr>
    </w:tbl>
    <w:p>
      <w:pPr>
        <w:spacing w:after="200" w:line="276"/>
      </w:pPr>
      <w:r>
        <w:rPr>
          <w:i/>
          <w:iCs/>
          <w:color w:val="595959"/>
          <w:sz w:val="17"/>
          <w:szCs w:val="17"/>
        </w:rPr>
        <w:t xml:space="preserve">Listing 7.3 — Adding a partner as a trusted issuer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8A8A8A" w:sz="18"/>
              <w:bottom w:val="single" w:color="BFBFBF" w:sz="4"/>
              <w:right w:val="single" w:color="BFBFBF" w:sz="4"/>
            </w:tcBorders>
            <w:shd w:fill="FAFAF7" w:color="auto" w:val="clear"/>
            <w:tcMar>
              <w:top w:type="dxa" w:w="120"/>
              <w:left w:type="dxa" w:w="160"/>
              <w:bottom w:type="dxa" w:w="120"/>
              <w:right w:type="dxa" w:w="160"/>
            </w:tcMar>
          </w:tcPr>
          <w:p>
            <w:pPr>
              <w:spacing w:after="70"/>
            </w:pPr>
            <w:r>
              <w:rPr>
                <w:b/>
                <w:bCs/>
                <w:color w:val="1A1A1A"/>
                <w:sz w:val="19"/>
                <w:szCs w:val="19"/>
              </w:rPr>
              <w:t xml:space="preserve">The most consequential call in this API</w:t>
            </w:r>
          </w:p>
          <w:p>
            <w:pPr>
              <w:spacing w:after="0" w:line="270"/>
            </w:pPr>
            <w:r>
              <w:rPr>
                <w:color w:val="1A1A1A"/>
                <w:sz w:val="19"/>
                <w:szCs w:val="19"/>
              </w:rPr>
              <w:t xml:space="preserve">Adding a trusted issuer delegates the ability to grant capabilities in this swarm to another party, permanently until deactivated. Every agent will accept credentials that party signs. It requires the admin role, is confirmed in the interface with an explicit warning, and is always audited.</w:t>
            </w:r>
          </w:p>
        </w:tc>
      </w:tr>
    </w:tbl>
    <w:p>
      <w:pPr>
        <w:spacing w:after="200" w:line="276"/>
      </w:pPr>
      <w:r>
        <w:rPr>
          <w:color w:val="1A1A1A"/>
          <w:sz w:val="21"/>
          <w:szCs w:val="21"/>
        </w:rPr>
        <w:t xml:space="preserve"/>
      </w:r>
    </w:p>
    <w:p>
      <w:pPr>
        <w:pStyle w:val="Heading2"/>
        <w:spacing w:after="140" w:before="320"/>
      </w:pPr>
      <w:r>
        <w:rPr>
          <w:b/>
          <w:bCs/>
          <w:color w:val="1A1A1A"/>
          <w:sz w:val="26"/>
          <w:szCs w:val="26"/>
        </w:rPr>
        <w:t xml:space="preserve">7.4  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8237"/>
      </w:tblGrid>
      <w:tr>
        <w:trPr>
          <w:tblHeader/>
        </w:trPr>
        <w:tc>
          <w:tcPr>
            <w:tcW w:type="dxa" w:w="112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Status</w:t>
            </w:r>
          </w:p>
        </w:tc>
        <w:tc>
          <w:tcPr>
            <w:tcW w:type="dxa" w:w="823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Condition</w:t>
            </w:r>
          </w:p>
        </w:tc>
      </w:tr>
      <w:tr>
        <w:trPr>
          <w:cantSplit/>
        </w:trPr>
        <w:tc>
          <w:tcPr>
            <w:tcW w:type="dxa" w:w="112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400</w:t>
            </w:r>
          </w:p>
        </w:tc>
        <w:tc>
          <w:tcPr>
            <w:tcW w:type="dxa" w:w="823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Malformed body, invalid DID, empty capability set, validity beyond the policy ceiling</w:t>
            </w:r>
          </w:p>
        </w:tc>
      </w:tr>
      <w:tr>
        <w:trPr>
          <w:cantSplit/>
        </w:trPr>
        <w:tc>
          <w:tcPr>
            <w:tcW w:type="dxa" w:w="112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401</w:t>
            </w:r>
          </w:p>
        </w:tc>
        <w:tc>
          <w:tcPr>
            <w:tcW w:type="dxa" w:w="823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Missing or invalid operator token</w:t>
            </w:r>
          </w:p>
        </w:tc>
      </w:tr>
      <w:tr>
        <w:trPr>
          <w:cantSplit/>
        </w:trPr>
        <w:tc>
          <w:tcPr>
            <w:tcW w:type="dxa" w:w="112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403</w:t>
            </w:r>
          </w:p>
        </w:tc>
        <w:tc>
          <w:tcPr>
            <w:tcW w:type="dxa" w:w="823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Valid token without the required role</w:t>
            </w:r>
          </w:p>
        </w:tc>
      </w:tr>
      <w:tr>
        <w:trPr>
          <w:cantSplit/>
        </w:trPr>
        <w:tc>
          <w:tcPr>
            <w:tcW w:type="dxa" w:w="112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409</w:t>
            </w:r>
          </w:p>
        </w:tc>
        <w:tc>
          <w:tcPr>
            <w:tcW w:type="dxa" w:w="823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A wildcard capability requiring a second approval</w:t>
            </w:r>
          </w:p>
        </w:tc>
      </w:tr>
      <w:tr>
        <w:trPr>
          <w:cantSplit/>
        </w:trPr>
        <w:tc>
          <w:tcPr>
            <w:tcW w:type="dxa" w:w="112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500</w:t>
            </w:r>
          </w:p>
        </w:tc>
        <w:tc>
          <w:tcPr>
            <w:tcW w:type="dxa" w:w="823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Signing or store write failed; the message names which</w:t>
            </w:r>
          </w:p>
        </w:tc>
      </w:tr>
      <w:tr>
        <w:trPr>
          <w:cantSplit/>
        </w:trPr>
        <w:tc>
          <w:tcPr>
            <w:tcW w:type="dxa" w:w="112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503</w:t>
            </w:r>
          </w:p>
        </w:tc>
        <w:tc>
          <w:tcPr>
            <w:tcW w:type="dxa" w:w="8237"/>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The agent is unreachable, so records cannot be written</w:t>
            </w:r>
          </w:p>
        </w:tc>
      </w:tr>
    </w:tbl>
    <w:p>
      <w:pPr>
        <w:spacing w:after="140" w:line="276"/>
      </w:pPr>
      <w:r>
        <w:rPr>
          <w:color w:val="1A1A1A"/>
          <w:sz w:val="21"/>
          <w:szCs w:val="21"/>
        </w:rPr>
        <w:t xml:space="preserve"/>
      </w:r>
    </w:p>
    <w:p>
      <w:r>
        <w:br w:type="page"/>
      </w:r>
    </w:p>
    <w:p>
      <w:pPr>
        <w:pStyle w:val="Heading1"/>
        <w:spacing w:after="200" w:before="400"/>
      </w:pPr>
      <w:r>
        <w:rPr>
          <w:b/>
          <w:bCs/>
          <w:color w:val="1A1A1A"/>
          <w:sz w:val="34"/>
          <w:szCs w:val="34"/>
        </w:rPr>
        <w:t xml:space="preserve">8  The operator interface</w:t>
      </w:r>
    </w:p>
    <w:p>
      <w:pPr>
        <w:pStyle w:val="Heading2"/>
        <w:spacing w:after="140" w:before="320"/>
      </w:pPr>
      <w:r>
        <w:rPr>
          <w:b/>
          <w:bCs/>
          <w:color w:val="1A1A1A"/>
          <w:sz w:val="26"/>
          <w:szCs w:val="26"/>
        </w:rPr>
        <w:t xml:space="preserve">8.1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2995"/>
        <w:gridCol w:w="4680"/>
      </w:tblGrid>
      <w:tr>
        <w:trPr>
          <w:tblHeader/>
        </w:trPr>
        <w:tc>
          <w:tcPr>
            <w:tcW w:type="dxa" w:w="168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View</w:t>
            </w:r>
          </w:p>
        </w:tc>
        <w:tc>
          <w:tcPr>
            <w:tcW w:type="dxa" w:w="299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Purpose</w:t>
            </w:r>
          </w:p>
        </w:tc>
        <w:tc>
          <w:tcPr>
            <w:tcW w:type="dxa" w:w="46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Notable behaviour</w:t>
            </w:r>
          </w:p>
        </w:tc>
      </w:tr>
      <w:tr>
        <w:trPr>
          <w:cantSplit/>
        </w:trPr>
        <w:tc>
          <w:tcPr>
            <w:tcW w:type="dxa" w:w="168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Requests</w:t>
            </w:r>
          </w:p>
        </w:tc>
        <w:tc>
          <w:tcPr>
            <w:tcW w:type="dxa" w:w="299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The approval queue</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Opens a capability editor pre-filled with the request, for narrowing</w:t>
            </w:r>
          </w:p>
        </w:tc>
      </w:tr>
      <w:tr>
        <w:trPr>
          <w:cantSplit/>
        </w:trPr>
        <w:tc>
          <w:tcPr>
            <w:tcW w:type="dxa" w:w="168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Issue</w:t>
            </w:r>
          </w:p>
        </w:tc>
        <w:tc>
          <w:tcPr>
            <w:tcW w:type="dxa" w:w="299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Direct issuance</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For onboarding by hand, or reissuing after expiry</w:t>
            </w:r>
          </w:p>
        </w:tc>
      </w:tr>
      <w:tr>
        <w:trPr>
          <w:cantSplit/>
        </w:trPr>
        <w:tc>
          <w:tcPr>
            <w:tcW w:type="dxa" w:w="168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Credentials</w:t>
            </w:r>
          </w:p>
        </w:tc>
        <w:tc>
          <w:tcPr>
            <w:tcW w:type="dxa" w:w="299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Everything issued</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Highlights anything expiring within two weeks</w:t>
            </w:r>
          </w:p>
        </w:tc>
      </w:tr>
      <w:tr>
        <w:trPr>
          <w:cantSplit/>
        </w:trPr>
        <w:tc>
          <w:tcPr>
            <w:tcW w:type="dxa" w:w="168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Trust list</w:t>
            </w:r>
          </w:p>
        </w:tc>
        <w:tc>
          <w:tcPr>
            <w:tcW w:type="dxa" w:w="299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Issuers the swarm accepts</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Adding one is behind an explicit confirmation</w:t>
            </w:r>
          </w:p>
        </w:tc>
      </w:tr>
      <w:tr>
        <w:trPr>
          <w:cantSplit/>
        </w:trPr>
        <w:tc>
          <w:tcPr>
            <w:tcW w:type="dxa" w:w="168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Audit</w:t>
            </w:r>
          </w:p>
        </w:tc>
        <w:tc>
          <w:tcPr>
            <w:tcW w:type="dxa" w:w="299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Actions in this process</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In-memory; the durable record is in kbissuance</w:t>
            </w:r>
          </w:p>
        </w:tc>
      </w:tr>
    </w:tbl>
    <w:p>
      <w:pPr>
        <w:spacing w:after="220" w:line="276"/>
      </w:pPr>
      <w:r>
        <w:rPr>
          <w:i/>
          <w:iCs/>
          <w:color w:val="595959"/>
          <w:sz w:val="17"/>
          <w:szCs w:val="17"/>
        </w:rPr>
        <w:t xml:space="preserve">Table 8.1 — Interface views</w:t>
      </w:r>
    </w:p>
    <w:p>
      <w:pPr>
        <w:pStyle w:val="Heading2"/>
        <w:spacing w:after="140" w:before="320"/>
      </w:pPr>
      <w:r>
        <w:rPr>
          <w:b/>
          <w:bCs/>
          <w:color w:val="1A1A1A"/>
          <w:sz w:val="26"/>
          <w:szCs w:val="26"/>
        </w:rPr>
        <w:t xml:space="preserve">8.2  Decisions built into the interface</w:t>
      </w:r>
    </w:p>
    <w:p>
      <w:pPr>
        <w:spacing w:after="140" w:line="276"/>
      </w:pPr>
      <w:r>
        <w:rPr>
          <w:color w:val="1A1A1A"/>
          <w:sz w:val="21"/>
          <w:szCs w:val="21"/>
        </w:rPr>
        <w:t xml:space="preserve">The capability editor offers the known actions and stores as suggestions but accepts free text, because a deployment may define its own actions and a closed list would silently prevent that.</w:t>
      </w:r>
    </w:p>
    <w:p>
      <w:pPr>
        <w:spacing w:after="140" w:line="276"/>
      </w:pPr>
      <w:r>
        <w:rPr>
          <w:color w:val="1A1A1A"/>
          <w:sz w:val="21"/>
          <w:szCs w:val="21"/>
        </w:rPr>
        <w:t xml:space="preserve">Wildcards are visually distinguished wherever they appear, and a count is shown with a note recommending the narrowest set that works. This is the only place in the system where an operator can accidentally grant far more than intended, and it is worth the friction.</w:t>
      </w:r>
    </w:p>
    <w:p>
      <w:pPr>
        <w:spacing w:after="140" w:line="276"/>
      </w:pPr>
      <w:r>
        <w:rPr>
          <w:color w:val="1A1A1A"/>
          <w:sz w:val="21"/>
          <w:szCs w:val="21"/>
        </w:rPr>
        <w:t xml:space="preserve">Approving pre-fills the editor with what was requested rather than with nothing. An empty form invites an operator to grant broadly to avoid iterating; a pre-filled one invites narrowing.</w:t>
      </w:r>
    </w:p>
    <w:p>
      <w:pPr>
        <w:spacing w:after="140" w:line="276"/>
      </w:pPr>
      <w:r>
        <w:rPr>
          <w:color w:val="1A1A1A"/>
          <w:sz w:val="21"/>
          <w:szCs w:val="21"/>
        </w:rPr>
        <w:t xml:space="preserve">The credential is offered as a download and also shown in full. Showing it matters because an operator should be able to see what was signed without a separate tool.</w:t>
      </w:r>
    </w:p>
    <w:p>
      <w:pPr>
        <w:pStyle w:val="Heading2"/>
        <w:spacing w:after="140" w:before="320"/>
      </w:pPr>
      <w:r>
        <w:rPr>
          <w:b/>
          <w:bCs/>
          <w:color w:val="1A1A1A"/>
          <w:sz w:val="26"/>
          <w:szCs w:val="26"/>
        </w:rPr>
        <w:t xml:space="preserve">8.3  Operator authentication</w:t>
      </w:r>
    </w:p>
    <w:p>
      <w:pPr>
        <w:spacing w:after="140" w:line="276"/>
      </w:pPr>
      <w:r>
        <w:rPr>
          <w:color w:val="1A1A1A"/>
          <w:sz w:val="21"/>
          <w:szCs w:val="21"/>
        </w:rPr>
        <w:t xml:space="preserve">Operators log in through Keycloak against the existing optimusddc realm. This is the one place in the wider design where a browser session is the right mechanism: a human approving an issuance is better served by an interactive login than by a key file, and Keycloak is already deployed.</w:t>
      </w:r>
    </w:p>
    <w:p>
      <w:pPr>
        <w:spacing w:after="140" w:line="276"/>
      </w:pPr>
      <w:r>
        <w:rPr>
          <w:color w:val="1A1A1A"/>
          <w:sz w:val="21"/>
          <w:szCs w:val="21"/>
        </w:rPr>
        <w:t xml:space="preserve">Two realm roles are required: issuer:operator for the queue and issuance, issuer:admin for the trust list. With no Keycloak configured the service runs with authentication disabled and logs a warning on every start; that mode exists for development and should never reach a deployment.</w:t>
      </w:r>
    </w:p>
    <w:p>
      <w:r>
        <w:br w:type="page"/>
      </w:r>
    </w:p>
    <w:p>
      <w:pPr>
        <w:pStyle w:val="Heading1"/>
        <w:spacing w:after="200" w:before="400"/>
      </w:pPr>
      <w:r>
        <w:rPr>
          <w:b/>
          <w:bCs/>
          <w:color w:val="1A1A1A"/>
          <w:sz w:val="34"/>
          <w:szCs w:val="34"/>
        </w:rPr>
        <w:t xml:space="preserve">9  The key ceremony</w:t>
      </w:r>
    </w:p>
    <w:p>
      <w:pPr>
        <w:spacing w:after="140" w:line="276"/>
      </w:pPr>
      <w:r>
        <w:rPr>
          <w:color w:val="1A1A1A"/>
          <w:sz w:val="21"/>
          <w:szCs w:val="21"/>
        </w:rPr>
        <w:t xml:space="preserve">The ceremony establishes the two issuer keys and the genesis trust list. It is performed once, and its output determines who may grant capabilities in this swarm for as long as the deployment lives. It deserves more formality than a command run on a laptop between meetings.</w:t>
      </w:r>
    </w:p>
    <w:p>
      <w:pPr>
        <w:spacing w:after="80" w:before="160" w:line="240" w:lineRule="auto"/>
        <w:jc w:val="center"/>
      </w:pPr>
      <w:r>
        <w:drawing>
          <wp:inline distT="0" distB="0" distL="0" distR="0">
            <wp:extent cx="5848350" cy="2790825"/>
            <wp:effectExtent t="0" r="0" b="0" l="0"/>
            <wp:docPr id="10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 descr=""/>
                    <pic:cNvPicPr>
                      <a:picLocks noChangeAspect="1" noChangeArrowheads="1"/>
                    </pic:cNvPicPr>
                  </pic:nvPicPr>
                  <pic:blipFill>
                    <a:blip r:embed="rId12" cstate="none"/>
                    <a:srcRect/>
                    <a:stretch>
                      <a:fillRect/>
                    </a:stretch>
                  </pic:blipFill>
                  <pic:spPr bwMode="auto">
                    <a:xfrm>
                      <a:off x="0" y="0"/>
                      <a:ext cx="5848350" cy="2790825"/>
                    </a:xfrm>
                    <a:prstGeom prst="rect">
                      <a:avLst/>
                    </a:prstGeom>
                  </pic:spPr>
                </pic:pic>
              </a:graphicData>
            </a:graphic>
          </wp:inline>
        </w:drawing>
      </w:r>
    </w:p>
    <w:p>
      <w:pPr>
        <w:spacing w:after="240"/>
        <w:jc w:val="center"/>
      </w:pPr>
      <w:r>
        <w:rPr>
          <w:i/>
          <w:iCs/>
          <w:color w:val="595959"/>
          <w:sz w:val="17"/>
          <w:szCs w:val="17"/>
        </w:rPr>
        <w:t xml:space="preserve">Figure 9.1 — The ceremony. Performed once; two DIDs and one file leave the room.</w:t>
      </w:r>
    </w:p>
    <w:p>
      <w:pPr>
        <w:pStyle w:val="Heading2"/>
        <w:spacing w:after="140" w:before="320"/>
      </w:pPr>
      <w:r>
        <w:rPr>
          <w:b/>
          <w:bCs/>
          <w:color w:val="1A1A1A"/>
          <w:sz w:val="26"/>
          <w:szCs w:val="26"/>
        </w:rPr>
        <w:t xml:space="preserve">9.1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Item</w:t>
            </w:r>
          </w:p>
        </w:tc>
        <w:tc>
          <w:tcPr>
            <w:tcW w:type="dxa" w:w="69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Requirement</w:t>
            </w:r>
          </w:p>
        </w:tc>
      </w:tr>
      <w:tr>
        <w:trPr>
          <w:cantSplit/>
        </w:trPr>
        <w:tc>
          <w:tcPr>
            <w:tcW w:type="dxa" w:w="243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Machine</w:t>
            </w:r>
          </w:p>
        </w:tc>
        <w:tc>
          <w:tcPr>
            <w:tcW w:type="dxa" w:w="6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Freshly booted, not joined to the cluster, network disconnected for steps 2 and 3</w:t>
            </w:r>
          </w:p>
        </w:tc>
      </w:tr>
      <w:tr>
        <w:trPr>
          <w:cantSplit/>
        </w:trPr>
        <w:tc>
          <w:tcPr>
            <w:tcW w:type="dxa" w:w="243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Witnesses</w:t>
            </w:r>
          </w:p>
        </w:tc>
        <w:tc>
          <w:tcPr>
            <w:tcW w:type="dxa" w:w="6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At least one besides the operator, named in the record</w:t>
            </w:r>
          </w:p>
        </w:tc>
      </w:tr>
      <w:tr>
        <w:trPr>
          <w:cantSplit/>
        </w:trPr>
        <w:tc>
          <w:tcPr>
            <w:tcW w:type="dxa" w:w="243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Storage for the root key</w:t>
            </w:r>
          </w:p>
        </w:tc>
        <w:tc>
          <w:tcPr>
            <w:tcW w:type="dxa" w:w="6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An encrypted volume or a hardware token, prepared beforehand</w:t>
            </w:r>
          </w:p>
        </w:tc>
      </w:tr>
      <w:tr>
        <w:trPr>
          <w:cantSplit/>
        </w:trPr>
        <w:tc>
          <w:tcPr>
            <w:tcW w:type="dxa" w:w="243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Record</w:t>
            </w:r>
          </w:p>
        </w:tc>
        <w:tc>
          <w:tcPr>
            <w:tcW w:type="dxa" w:w="6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A written document, completed during the ceremony, not afterwards</w:t>
            </w:r>
          </w:p>
        </w:tc>
      </w:tr>
      <w:tr>
        <w:trPr>
          <w:cantSplit/>
        </w:trPr>
        <w:tc>
          <w:tcPr>
            <w:tcW w:type="dxa" w:w="243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Binary</w:t>
            </w:r>
          </w:p>
        </w:tc>
        <w:tc>
          <w:tcPr>
            <w:tcW w:type="dxa" w:w="6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issuerctl, built from a known commit, its hash recorded</w:t>
            </w:r>
          </w:p>
        </w:tc>
      </w:tr>
    </w:tbl>
    <w:p>
      <w:pPr>
        <w:spacing w:after="220" w:line="276"/>
      </w:pPr>
      <w:r>
        <w:rPr>
          <w:i/>
          <w:iCs/>
          <w:color w:val="595959"/>
          <w:sz w:val="17"/>
          <w:szCs w:val="17"/>
        </w:rPr>
        <w:t xml:space="preserve">Table 9.1 — Before starting</w:t>
      </w:r>
    </w:p>
    <w:p>
      <w:pPr>
        <w:pStyle w:val="Heading2"/>
        <w:spacing w:after="140" w:before="320"/>
      </w:pPr>
      <w:r>
        <w:rPr>
          <w:b/>
          <w:bCs/>
          <w:color w:val="1A1A1A"/>
          <w:sz w:val="26"/>
          <w:szCs w:val="26"/>
        </w:rPr>
        <w:t xml:space="preserve">9.2  Steps</w:t>
      </w:r>
    </w:p>
    <w:p>
      <w:pPr>
        <w:pStyle w:val="Heading3"/>
        <w:spacing w:after="110" w:before="240"/>
      </w:pPr>
      <w:r>
        <w:rPr>
          <w:b/>
          <w:bCs/>
          <w:color w:val="1A1A1A"/>
          <w:sz w:val="22"/>
          <w:szCs w:val="22"/>
        </w:rPr>
        <w:t xml:space="preserve">Step 1 — Verify the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sha256sum ./issuerctl</w:t>
            </w:r>
          </w:p>
        </w:tc>
      </w:tr>
      <w:tr>
        <w:trPr>
          <w:cantSplit/>
        </w:trPr>
        <w:tc>
          <w:tcPr>
            <w:tcW w:type="dxa" w:w="9360"/>
            <w:tcBorders>
              <w:top w:val="none" w:color="auto" w:sz="0"/>
              <w:left w:val="single" w:color="BFBFBF" w:sz="4"/>
              <w:bottom w:val="single" w:color="BFBFBF" w:sz="4"/>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git rev-parse HEAD        # record both in the ceremony document</w:t>
            </w:r>
          </w:p>
        </w:tc>
      </w:tr>
    </w:tbl>
    <w:p>
      <w:pPr>
        <w:spacing w:after="120" w:line="276"/>
      </w:pPr>
      <w:r>
        <w:rPr>
          <w:color w:val="1A1A1A"/>
          <w:sz w:val="21"/>
          <w:szCs w:val="21"/>
        </w:rPr>
        <w:t xml:space="preserve"/>
      </w:r>
    </w:p>
    <w:p>
      <w:pPr>
        <w:pStyle w:val="Heading3"/>
        <w:spacing w:after="110" w:before="240"/>
      </w:pPr>
      <w:r>
        <w:rPr>
          <w:b/>
          <w:bCs/>
          <w:color w:val="1A1A1A"/>
          <w:sz w:val="22"/>
          <w:szCs w:val="22"/>
        </w:rPr>
        <w:t xml:space="preserve">Step 2 — Generate the root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./issuerctl keygen --out root.key --label "ICCS Root Issuer"</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DID:  did:key:z6MkhaXgBZDvotDkL5257faiztiGiC2QtKLGpbnnEGta2doK</w:t>
            </w:r>
          </w:p>
        </w:tc>
      </w:tr>
      <w:tr>
        <w:trPr>
          <w:cantSplit/>
        </w:trPr>
        <w:tc>
          <w:tcPr>
            <w:tcW w:type="dxa" w:w="9360"/>
            <w:tcBorders>
              <w:top w:val="none" w:color="auto" w:sz="0"/>
              <w:left w:val="single" w:color="BFBFBF" w:sz="4"/>
              <w:bottom w:val="single" w:color="BFBFBF" w:sz="4"/>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key:  root.key (mode 0600)</w:t>
            </w:r>
          </w:p>
        </w:tc>
      </w:tr>
    </w:tbl>
    <w:p>
      <w:pPr>
        <w:spacing w:after="120" w:line="276"/>
      </w:pPr>
      <w:r>
        <w:rPr>
          <w:color w:val="1A1A1A"/>
          <w:sz w:val="21"/>
          <w:szCs w:val="21"/>
        </w:rPr>
        <w:t xml:space="preserve"/>
      </w:r>
    </w:p>
    <w:p>
      <w:pPr>
        <w:spacing w:after="140" w:line="276"/>
      </w:pPr>
      <w:r>
        <w:rPr>
          <w:color w:val="1A1A1A"/>
          <w:sz w:val="21"/>
          <w:szCs w:val="21"/>
        </w:rPr>
        <w:t xml:space="preserve">Read the DID aloud and have a witness confirm it against the screen. It will be transcribed into the genesis list and a transcription error is easier to catch now than after deployment.</w:t>
      </w:r>
    </w:p>
    <w:p>
      <w:pPr>
        <w:pStyle w:val="Heading3"/>
        <w:spacing w:after="110" w:before="240"/>
      </w:pPr>
      <w:r>
        <w:rPr>
          <w:b/>
          <w:bCs/>
          <w:color w:val="1A1A1A"/>
          <w:sz w:val="22"/>
          <w:szCs w:val="22"/>
        </w:rPr>
        <w:t xml:space="preserve">Step 3 — Generate the service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./issuerctl keygen --out service.key --label "optimusIssuer service key"</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w:t>
            </w:r>
          </w:p>
        </w:tc>
      </w:tr>
      <w:tr>
        <w:trPr>
          <w:cantSplit/>
        </w:trPr>
        <w:tc>
          <w:tcPr>
            <w:tcW w:type="dxa" w:w="9360"/>
            <w:tcBorders>
              <w:top w:val="none" w:color="auto" w:sz="0"/>
              <w:left w:val="single" w:color="BFBFBF" w:sz="4"/>
              <w:bottom w:val="single" w:color="BFBFBF" w:sz="4"/>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DID:  did:key:z6MkrServiceKeyDIDHere...</w:t>
            </w:r>
          </w:p>
        </w:tc>
      </w:tr>
    </w:tbl>
    <w:p>
      <w:pPr>
        <w:spacing w:after="120" w:line="276"/>
      </w:pPr>
      <w:r>
        <w:rPr>
          <w:color w:val="1A1A1A"/>
          <w:sz w:val="21"/>
          <w:szCs w:val="21"/>
        </w:rPr>
        <w:t xml:space="preserve"/>
      </w:r>
    </w:p>
    <w:p>
      <w:pPr>
        <w:pStyle w:val="Heading3"/>
        <w:spacing w:after="110" w:before="240"/>
      </w:pPr>
      <w:r>
        <w:rPr>
          <w:b/>
          <w:bCs/>
          <w:color w:val="1A1A1A"/>
          <w:sz w:val="22"/>
          <w:szCs w:val="22"/>
        </w:rPr>
        <w:t xml:space="preserve">Step 4 — Produce the genesis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./issuerctl genesis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--key root.key    --name "ICCS Root Issuer (offline)"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--key service.key --name "optimusIssuer service" \</w:t>
            </w:r>
          </w:p>
        </w:tc>
      </w:tr>
      <w:tr>
        <w:trPr>
          <w:cantSplit/>
        </w:trPr>
        <w:tc>
          <w:tcPr>
            <w:tcW w:type="dxa" w:w="9360"/>
            <w:tcBorders>
              <w:top w:val="none" w:color="auto" w:sz="0"/>
              <w:left w:val="single" w:color="BFBFBF" w:sz="4"/>
              <w:bottom w:val="single" w:color="BFBFBF" w:sz="4"/>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--out issuers.json</w:t>
            </w:r>
          </w:p>
        </w:tc>
      </w:tr>
    </w:tbl>
    <w:p>
      <w:pPr>
        <w:spacing w:after="120" w:line="276"/>
      </w:pPr>
      <w:r>
        <w:rPr>
          <w:color w:val="1A1A1A"/>
          <w:sz w:val="21"/>
          <w:szCs w:val="21"/>
        </w:rPr>
        <w:t xml:space="preserve"/>
      </w:r>
    </w:p>
    <w:p>
      <w:pPr>
        <w:spacing w:after="140" w:line="276"/>
      </w:pPr>
      <w:r>
        <w:rPr>
          <w:color w:val="1A1A1A"/>
          <w:sz w:val="21"/>
          <w:szCs w:val="21"/>
        </w:rPr>
        <w:t xml:space="preserve">This file is the only output that leaves the room in electronic form. It contains two public identifiers and no secret, so it may be copied freely and committed to the deployment repository.</w:t>
      </w:r>
    </w:p>
    <w:p>
      <w:pPr>
        <w:pStyle w:val="Heading3"/>
        <w:spacing w:after="110" w:before="240"/>
      </w:pPr>
      <w:r>
        <w:rPr>
          <w:b/>
          <w:bCs/>
          <w:color w:val="1A1A1A"/>
          <w:sz w:val="22"/>
          <w:szCs w:val="22"/>
        </w:rPr>
        <w:t xml:space="preserve">Step 5 — Seal the root key</w:t>
      </w:r>
    </w:p>
    <w:p>
      <w:pPr>
        <w:spacing w:after="140" w:line="276"/>
      </w:pPr>
      <w:r>
        <w:rPr>
          <w:color w:val="1A1A1A"/>
          <w:sz w:val="21"/>
          <w:szCs w:val="21"/>
        </w:rPr>
        <w:t xml:space="preserve">Move root.key to the prepared encrypted volume or hardware token. Delete every other copy with a tool that overwrites, not merely unlinks. Do not reconnect the network until this step is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shred -u root.key          # after copying to sealed storage</w:t>
            </w:r>
          </w:p>
        </w:tc>
      </w:tr>
    </w:tbl>
    <w:p>
      <w:pPr>
        <w:spacing w:after="120" w:line="276"/>
      </w:pPr>
      <w:r>
        <w:rPr>
          <w:color w:val="1A1A1A"/>
          <w:sz w:val="21"/>
          <w:szCs w:val="21"/>
        </w:rPr>
        <w:t xml:space="preserve"/>
      </w:r>
    </w:p>
    <w:p>
      <w:pPr>
        <w:pStyle w:val="Heading3"/>
        <w:spacing w:after="110" w:before="240"/>
      </w:pPr>
      <w:r>
        <w:rPr>
          <w:b/>
          <w:bCs/>
          <w:color w:val="1A1A1A"/>
          <w:sz w:val="22"/>
          <w:szCs w:val="22"/>
        </w:rPr>
        <w:t xml:space="preserve">Step 6 — Transfer the service key</w:t>
      </w:r>
    </w:p>
    <w:p>
      <w:pPr>
        <w:spacing w:after="140" w:line="276"/>
      </w:pPr>
      <w:r>
        <w:rPr>
          <w:color w:val="1A1A1A"/>
          <w:sz w:val="21"/>
          <w:szCs w:val="21"/>
        </w:rPr>
        <w:t xml:space="preserve">Reconnect, create the Kubernetes Secret, and destroy the local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kubectl -n optimusissuer create secret generic issuer-key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--from-file=issuer.key=./service.key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--dry-run=client -o yaml &gt; secret.yaml</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kubectl apply -f secret.yaml</w:t>
            </w:r>
          </w:p>
        </w:tc>
      </w:tr>
      <w:tr>
        <w:trPr>
          <w:cantSplit/>
        </w:trPr>
        <w:tc>
          <w:tcPr>
            <w:tcW w:type="dxa" w:w="9360"/>
            <w:tcBorders>
              <w:top w:val="none" w:color="auto" w:sz="0"/>
              <w:left w:val="single" w:color="BFBFBF" w:sz="4"/>
              <w:bottom w:val="single" w:color="BFBFBF" w:sz="4"/>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shred -u secret.yaml service.key</w:t>
            </w:r>
          </w:p>
        </w:tc>
      </w:tr>
    </w:tbl>
    <w:p>
      <w:pPr>
        <w:spacing w:after="120" w:line="276"/>
      </w:pPr>
      <w:r>
        <w:rPr>
          <w:color w:val="1A1A1A"/>
          <w:sz w:val="21"/>
          <w:szCs w:val="21"/>
        </w:rPr>
        <w:t xml:space="preserve"/>
      </w:r>
    </w:p>
    <w:p>
      <w:pPr>
        <w:pStyle w:val="Heading3"/>
        <w:spacing w:after="110" w:before="240"/>
      </w:pPr>
      <w:r>
        <w:rPr>
          <w:b/>
          <w:bCs/>
          <w:color w:val="1A1A1A"/>
          <w:sz w:val="22"/>
          <w:szCs w:val="22"/>
        </w:rPr>
        <w:t xml:space="preserve">Step 7 — Record the ceremony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Field</w:t>
            </w:r>
          </w:p>
        </w:tc>
        <w:tc>
          <w:tcPr>
            <w:tcW w:type="dxa" w:w="673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Recorded</w:t>
            </w:r>
          </w:p>
        </w:tc>
      </w:tr>
      <w:tr>
        <w:trPr>
          <w:cantSplit/>
        </w:trPr>
        <w:tc>
          <w:tcPr>
            <w:tcW w:type="dxa" w:w="262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Date, time, location</w:t>
            </w:r>
          </w:p>
        </w:tc>
        <w:tc>
          <w:tcPr>
            <w:tcW w:type="dxa" w:w="673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When and where</w:t>
            </w:r>
          </w:p>
        </w:tc>
      </w:tr>
      <w:tr>
        <w:trPr>
          <w:cantSplit/>
        </w:trPr>
        <w:tc>
          <w:tcPr>
            <w:tcW w:type="dxa" w:w="262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Participants</w:t>
            </w:r>
          </w:p>
        </w:tc>
        <w:tc>
          <w:tcPr>
            <w:tcW w:type="dxa" w:w="673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Operator and witnesses, by name</w:t>
            </w:r>
          </w:p>
        </w:tc>
      </w:tr>
      <w:tr>
        <w:trPr>
          <w:cantSplit/>
        </w:trPr>
        <w:tc>
          <w:tcPr>
            <w:tcW w:type="dxa" w:w="262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Tool version</w:t>
            </w:r>
          </w:p>
        </w:tc>
        <w:tc>
          <w:tcPr>
            <w:tcW w:type="dxa" w:w="673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Commit hash and binary checksum</w:t>
            </w:r>
          </w:p>
        </w:tc>
      </w:tr>
      <w:tr>
        <w:trPr>
          <w:cantSplit/>
        </w:trPr>
        <w:tc>
          <w:tcPr>
            <w:tcW w:type="dxa" w:w="262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Root DID</w:t>
            </w:r>
          </w:p>
        </w:tc>
        <w:tc>
          <w:tcPr>
            <w:tcW w:type="dxa" w:w="673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In full</w:t>
            </w:r>
          </w:p>
        </w:tc>
      </w:tr>
      <w:tr>
        <w:trPr>
          <w:cantSplit/>
        </w:trPr>
        <w:tc>
          <w:tcPr>
            <w:tcW w:type="dxa" w:w="262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Service DID</w:t>
            </w:r>
          </w:p>
        </w:tc>
        <w:tc>
          <w:tcPr>
            <w:tcW w:type="dxa" w:w="673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In full</w:t>
            </w:r>
          </w:p>
        </w:tc>
      </w:tr>
      <w:tr>
        <w:trPr>
          <w:cantSplit/>
        </w:trPr>
        <w:tc>
          <w:tcPr>
            <w:tcW w:type="dxa" w:w="262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Root key storage</w:t>
            </w:r>
          </w:p>
        </w:tc>
        <w:tc>
          <w:tcPr>
            <w:tcW w:type="dxa" w:w="673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What medium, held by whom, where physically</w:t>
            </w:r>
          </w:p>
        </w:tc>
      </w:tr>
      <w:tr>
        <w:trPr>
          <w:cantSplit/>
        </w:trPr>
        <w:tc>
          <w:tcPr>
            <w:tcW w:type="dxa" w:w="262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Destruction confirmed</w:t>
            </w:r>
          </w:p>
        </w:tc>
        <w:tc>
          <w:tcPr>
            <w:tcW w:type="dxa" w:w="673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That all other copies were overwritten, witnessed</w:t>
            </w:r>
          </w:p>
        </w:tc>
      </w:tr>
      <w:tr>
        <w:trPr>
          <w:cantSplit/>
        </w:trPr>
        <w:tc>
          <w:tcPr>
            <w:tcW w:type="dxa" w:w="262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Signatures</w:t>
            </w:r>
          </w:p>
        </w:tc>
        <w:tc>
          <w:tcPr>
            <w:tcW w:type="dxa" w:w="673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Operator and witnesses</w:t>
            </w:r>
          </w:p>
        </w:tc>
      </w:tr>
    </w:tbl>
    <w:p>
      <w:pPr>
        <w:spacing w:after="220" w:line="276"/>
      </w:pPr>
      <w:r>
        <w:rPr>
          <w:i/>
          <w:iCs/>
          <w:color w:val="595959"/>
          <w:sz w:val="17"/>
          <w:szCs w:val="17"/>
        </w:rPr>
        <w:t xml:space="preserve">Table 9.2 — The ceremony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8A8A8A" w:sz="18"/>
              <w:bottom w:val="single" w:color="BFBFBF" w:sz="4"/>
              <w:right w:val="single" w:color="BFBFBF" w:sz="4"/>
            </w:tcBorders>
            <w:shd w:fill="FAFAF7" w:color="auto" w:val="clear"/>
            <w:tcMar>
              <w:top w:type="dxa" w:w="120"/>
              <w:left w:type="dxa" w:w="160"/>
              <w:bottom w:type="dxa" w:w="120"/>
              <w:right w:type="dxa" w:w="160"/>
            </w:tcMar>
          </w:tcPr>
          <w:p>
            <w:pPr>
              <w:spacing w:after="70"/>
            </w:pPr>
            <w:r>
              <w:rPr>
                <w:b/>
                <w:bCs/>
                <w:color w:val="1A1A1A"/>
                <w:sz w:val="19"/>
                <w:szCs w:val="19"/>
              </w:rPr>
              <w:t xml:space="preserve">Why the record matters more than it seems</w:t>
            </w:r>
          </w:p>
          <w:p>
            <w:pPr>
              <w:spacing w:after="0" w:line="270"/>
            </w:pPr>
            <w:r>
              <w:rPr>
                <w:color w:val="1A1A1A"/>
                <w:sz w:val="19"/>
                <w:szCs w:val="19"/>
              </w:rPr>
              <w:t xml:space="preserve">The genesis list is the one assertion in this system that is not derived from anything else. A reviewer asking why these particular issuers are trusted should be able to read an answer, rather than being told it was configured at some point by someone. The record is what turns an axiom into an auditable decision.</w:t>
            </w:r>
          </w:p>
        </w:tc>
      </w:tr>
    </w:tbl>
    <w:p>
      <w:pPr>
        <w:spacing w:after="200" w:line="276"/>
      </w:pPr>
      <w:r>
        <w:rPr>
          <w:color w:val="1A1A1A"/>
          <w:sz w:val="21"/>
          <w:szCs w:val="21"/>
        </w:rPr>
        <w:t xml:space="preserve"/>
      </w:r>
    </w:p>
    <w:p>
      <w:pPr>
        <w:pStyle w:val="Heading2"/>
        <w:spacing w:after="140" w:before="320"/>
      </w:pPr>
      <w:r>
        <w:rPr>
          <w:b/>
          <w:bCs/>
          <w:color w:val="1A1A1A"/>
          <w:sz w:val="26"/>
          <w:szCs w:val="26"/>
        </w:rPr>
        <w:t xml:space="preserve">9.3  Afterwards</w:t>
      </w:r>
    </w:p>
    <w:p>
      <w:pPr>
        <w:spacing w:after="140" w:line="276"/>
      </w:pPr>
      <w:r>
        <w:rPr>
          <w:color w:val="1A1A1A"/>
          <w:sz w:val="21"/>
          <w:szCs w:val="21"/>
        </w:rPr>
        <w:t xml:space="preserve">The root key is brought out only to authorise a new service key, to deactivate a compromised one, or to add a partner issuer if that authority is not delegated. Each such use should be recorded in the same document.</w:t>
      </w:r>
    </w:p>
    <w:p>
      <w:r>
        <w:br w:type="page"/>
      </w:r>
    </w:p>
    <w:p>
      <w:pPr>
        <w:pStyle w:val="Heading1"/>
        <w:spacing w:after="200" w:before="400"/>
      </w:pPr>
      <w:r>
        <w:rPr>
          <w:b/>
          <w:bCs/>
          <w:color w:val="1A1A1A"/>
          <w:sz w:val="34"/>
          <w:szCs w:val="34"/>
        </w:rPr>
        <w:t xml:space="preserve">10  Deployment</w:t>
      </w:r>
    </w:p>
    <w:p>
      <w:pPr>
        <w:spacing w:after="80" w:before="160" w:line="240" w:lineRule="auto"/>
        <w:jc w:val="center"/>
      </w:pPr>
      <w:r>
        <w:drawing>
          <wp:inline distT="0" distB="0" distL="0" distR="0">
            <wp:extent cx="5848350" cy="2714625"/>
            <wp:effectExtent t="0" r="0" b="0" l="0"/>
            <wp:docPr id="10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 descr=""/>
                    <pic:cNvPicPr>
                      <a:picLocks noChangeAspect="1" noChangeArrowheads="1"/>
                    </pic:cNvPicPr>
                  </pic:nvPicPr>
                  <pic:blipFill>
                    <a:blip r:embed="rId13" cstate="none"/>
                    <a:srcRect/>
                    <a:stretch>
                      <a:fillRect/>
                    </a:stretch>
                  </pic:blipFill>
                  <pic:spPr bwMode="auto">
                    <a:xfrm>
                      <a:off x="0" y="0"/>
                      <a:ext cx="5848350" cy="2714625"/>
                    </a:xfrm>
                    <a:prstGeom prst="rect">
                      <a:avLst/>
                    </a:prstGeom>
                  </pic:spPr>
                </pic:pic>
              </a:graphicData>
            </a:graphic>
          </wp:inline>
        </w:drawing>
      </w:r>
    </w:p>
    <w:p>
      <w:pPr>
        <w:spacing w:after="240"/>
        <w:jc w:val="center"/>
      </w:pPr>
      <w:r>
        <w:rPr>
          <w:i/>
          <w:iCs/>
          <w:color w:val="595959"/>
          <w:sz w:val="17"/>
          <w:szCs w:val="17"/>
        </w:rPr>
        <w:t xml:space="preserve">Figure 10.1 — What is added. Seven Deployments become eight; the agents are untouched.</w:t>
      </w:r>
    </w:p>
    <w:p>
      <w:pPr>
        <w:pStyle w:val="Heading2"/>
        <w:spacing w:after="140" w:before="320"/>
      </w:pPr>
      <w:r>
        <w:rPr>
          <w:b/>
          <w:bCs/>
          <w:color w:val="1A1A1A"/>
          <w:sz w:val="26"/>
          <w:szCs w:val="26"/>
        </w:rPr>
        <w:t xml:space="preserve">10.1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059"/>
        <w:gridCol w:w="4493"/>
      </w:tblGrid>
      <w:tr>
        <w:trPr>
          <w:tblHeader/>
        </w:trPr>
        <w:tc>
          <w:tcPr>
            <w:tcW w:type="dxa" w:w="280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Object</w:t>
            </w:r>
          </w:p>
        </w:tc>
        <w:tc>
          <w:tcPr>
            <w:tcW w:type="dxa" w:w="205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Namespace</w:t>
            </w:r>
          </w:p>
        </w:tc>
        <w:tc>
          <w:tcPr>
            <w:tcW w:type="dxa" w:w="449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Purpose</w:t>
            </w:r>
          </w:p>
        </w:tc>
      </w:tr>
      <w:tr>
        <w:trPr>
          <w:cantSplit/>
        </w:trPr>
        <w:tc>
          <w:tcPr>
            <w:tcW w:type="dxa" w:w="28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Namespace optimusissuer</w:t>
            </w:r>
          </w:p>
        </w:tc>
        <w:tc>
          <w:tcPr>
            <w:tcW w:type="dxa" w:w="205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w:t>
            </w:r>
          </w:p>
        </w:tc>
        <w:tc>
          <w:tcPr>
            <w:tcW w:type="dxa" w:w="449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Isolation, so a NetworkPolicy can be scoped</w:t>
            </w:r>
          </w:p>
        </w:tc>
      </w:tr>
      <w:tr>
        <w:trPr>
          <w:cantSplit/>
        </w:trPr>
        <w:tc>
          <w:tcPr>
            <w:tcW w:type="dxa" w:w="28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Deployment optimusissuer</w:t>
            </w:r>
          </w:p>
        </w:tc>
        <w:tc>
          <w:tcPr>
            <w:tcW w:type="dxa" w:w="205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optimusissuer</w:t>
            </w:r>
          </w:p>
        </w:tc>
        <w:tc>
          <w:tcPr>
            <w:tcW w:type="dxa" w:w="449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One replica, Recreate strategy</w:t>
            </w:r>
          </w:p>
        </w:tc>
      </w:tr>
      <w:tr>
        <w:trPr>
          <w:cantSplit/>
        </w:trPr>
        <w:tc>
          <w:tcPr>
            <w:tcW w:type="dxa" w:w="28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Service optimusissuer</w:t>
            </w:r>
          </w:p>
        </w:tc>
        <w:tc>
          <w:tcPr>
            <w:tcW w:type="dxa" w:w="205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optimusissuer</w:t>
            </w:r>
          </w:p>
        </w:tc>
        <w:tc>
          <w:tcPr>
            <w:tcW w:type="dxa" w:w="449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ClusterIP on 8090</w:t>
            </w:r>
          </w:p>
        </w:tc>
      </w:tr>
      <w:tr>
        <w:trPr>
          <w:cantSplit/>
        </w:trPr>
        <w:tc>
          <w:tcPr>
            <w:tcW w:type="dxa" w:w="28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Middleware issuer-stripprefix</w:t>
            </w:r>
          </w:p>
        </w:tc>
        <w:tc>
          <w:tcPr>
            <w:tcW w:type="dxa" w:w="205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optimusissuer</w:t>
            </w:r>
          </w:p>
        </w:tc>
        <w:tc>
          <w:tcPr>
            <w:tcW w:type="dxa" w:w="449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Removes /issuer before forwarding</w:t>
            </w:r>
          </w:p>
        </w:tc>
      </w:tr>
      <w:tr>
        <w:trPr>
          <w:cantSplit/>
        </w:trPr>
        <w:tc>
          <w:tcPr>
            <w:tcW w:type="dxa" w:w="28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IngressRoute optimusissuer</w:t>
            </w:r>
          </w:p>
        </w:tc>
        <w:tc>
          <w:tcPr>
            <w:tcW w:type="dxa" w:w="205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optimusissuer</w:t>
            </w:r>
          </w:p>
        </w:tc>
        <w:tc>
          <w:tcPr>
            <w:tcW w:type="dxa" w:w="449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PathPrefix /issuer on the TLS entry point</w:t>
            </w:r>
          </w:p>
        </w:tc>
      </w:tr>
      <w:tr>
        <w:trPr>
          <w:cantSplit/>
        </w:trPr>
        <w:tc>
          <w:tcPr>
            <w:tcW w:type="dxa" w:w="28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Secret issuer-key</w:t>
            </w:r>
          </w:p>
        </w:tc>
        <w:tc>
          <w:tcPr>
            <w:tcW w:type="dxa" w:w="205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optimusissuer</w:t>
            </w:r>
          </w:p>
        </w:tc>
        <w:tc>
          <w:tcPr>
            <w:tcW w:type="dxa" w:w="449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The service key, mounted as a file, mode 0400</w:t>
            </w:r>
          </w:p>
        </w:tc>
      </w:tr>
      <w:tr>
        <w:trPr>
          <w:cantSplit/>
        </w:trPr>
        <w:tc>
          <w:tcPr>
            <w:tcW w:type="dxa" w:w="28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NetworkPolicy optimusissuer</w:t>
            </w:r>
          </w:p>
        </w:tc>
        <w:tc>
          <w:tcPr>
            <w:tcW w:type="dxa" w:w="205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optimusissuer</w:t>
            </w:r>
          </w:p>
        </w:tc>
        <w:tc>
          <w:tcPr>
            <w:tcW w:type="dxa" w:w="449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Egress to agents, Keycloak and DNS only</w:t>
            </w:r>
          </w:p>
        </w:tc>
      </w:tr>
      <w:tr>
        <w:trPr>
          <w:cantSplit/>
        </w:trPr>
        <w:tc>
          <w:tcPr>
            <w:tcW w:type="dxa" w:w="28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ConfigMap optimusdb-genesis-issuers</w:t>
            </w:r>
          </w:p>
        </w:tc>
        <w:tc>
          <w:tcPr>
            <w:tcW w:type="dxa" w:w="205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optimusddc</w:t>
            </w:r>
          </w:p>
        </w:tc>
        <w:tc>
          <w:tcPr>
            <w:tcW w:type="dxa" w:w="449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The genesis trust list, read by the agents</w:t>
            </w:r>
          </w:p>
        </w:tc>
      </w:tr>
    </w:tbl>
    <w:p>
      <w:pPr>
        <w:spacing w:after="220" w:line="276"/>
      </w:pPr>
      <w:r>
        <w:rPr>
          <w:i/>
          <w:iCs/>
          <w:color w:val="595959"/>
          <w:sz w:val="17"/>
          <w:szCs w:val="17"/>
        </w:rPr>
        <w:t xml:space="preserve">Table 10.1 — Kubernetes objects</w:t>
      </w:r>
    </w:p>
    <w:p>
      <w:pPr>
        <w:spacing w:after="140" w:line="276"/>
      </w:pPr>
      <w:r>
        <w:rPr>
          <w:color w:val="1A1A1A"/>
          <w:sz w:val="21"/>
          <w:szCs w:val="21"/>
        </w:rPr>
        <w:t xml:space="preserve">Only the last row is in the agents' namespace, and it is read by the agents rather than by this service.</w:t>
      </w:r>
    </w:p>
    <w:p>
      <w:pPr>
        <w:pStyle w:val="Heading2"/>
        <w:spacing w:after="140" w:before="320"/>
      </w:pPr>
      <w:r>
        <w:rPr>
          <w:b/>
          <w:bCs/>
          <w:color w:val="1A1A1A"/>
          <w:sz w:val="26"/>
          <w:szCs w:val="26"/>
        </w:rPr>
        <w:t xml:space="preserve">10.2  Installing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kubectl apply -f deploy/01-namespace.yaml</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the Secret is produced during the ceremony, not stored in the repository</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kubectl apply -f secret.yaml &amp;&amp; shred -u secret.yaml</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kubectl apply -f deploy/03-deployment.yaml</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kubectl apply -f deploy/04-ingressroute.yaml</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kubectl apply -f deploy/05-networkpolicy.yaml</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into the agents namespace</w:t>
            </w:r>
          </w:p>
        </w:tc>
      </w:tr>
      <w:tr>
        <w:trPr>
          <w:cantSplit/>
        </w:trPr>
        <w:tc>
          <w:tcPr>
            <w:tcW w:type="dxa" w:w="9360"/>
            <w:tcBorders>
              <w:top w:val="none" w:color="auto" w:sz="0"/>
              <w:left w:val="single" w:color="BFBFBF" w:sz="4"/>
              <w:bottom w:val="single" w:color="BFBFBF" w:sz="4"/>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kubectl apply -f deploy/06-genesis-configmap.yaml</w:t>
            </w:r>
          </w:p>
        </w:tc>
      </w:tr>
    </w:tbl>
    <w:p>
      <w:pPr>
        <w:spacing w:after="120" w:line="276"/>
      </w:pPr>
      <w:r>
        <w:rPr>
          <w:color w:val="1A1A1A"/>
          <w:sz w:val="21"/>
          <w:szCs w:val="21"/>
        </w:rPr>
        <w:t xml:space="preserve"/>
      </w:r>
    </w:p>
    <w:p>
      <w:pPr>
        <w:pStyle w:val="Heading2"/>
        <w:spacing w:after="140" w:before="320"/>
      </w:pPr>
      <w:r>
        <w:rPr>
          <w:b/>
          <w:bCs/>
          <w:color w:val="1A1A1A"/>
          <w:sz w:val="26"/>
          <w:szCs w:val="26"/>
        </w:rPr>
        <w:t xml:space="preserve">10.3  Verifying the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the service knows its own identity</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curl -s https://HOST/issuer/api/v1/issuer/health | jq</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the DID matches the one from the ceremony</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curl -s https://HOST/issuer/api/v1/issuer/info | jq -r .issuer_did</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the agents hold the genesis list</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curl -s -X POST https://HOST/optimusdb1/swarmkb/command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-H "Content-Type: application/json"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-d '{"method":{"cmd":"crudget"},"dstype":"kbtrust",</w:t>
            </w:r>
          </w:p>
        </w:tc>
      </w:tr>
      <w:tr>
        <w:trPr>
          <w:cantSplit/>
        </w:trPr>
        <w:tc>
          <w:tcPr>
            <w:tcW w:type="dxa" w:w="9360"/>
            <w:tcBorders>
              <w:top w:val="none" w:color="auto" w:sz="0"/>
              <w:left w:val="single" w:color="BFBFBF" w:sz="4"/>
              <w:bottom w:val="single" w:color="BFBFBF" w:sz="4"/>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"criteria":[{"record_type":"trusted_issuer"}]}' | jq</w:t>
            </w:r>
          </w:p>
        </w:tc>
      </w:tr>
    </w:tbl>
    <w:p>
      <w:pPr>
        <w:spacing w:after="120" w:line="276"/>
      </w:pPr>
      <w:r>
        <w:rPr>
          <w:color w:val="1A1A1A"/>
          <w:sz w:val="21"/>
          <w:szCs w:val="21"/>
        </w:rPr>
        <w:t xml:space="preserve"/>
      </w:r>
    </w:p>
    <w:p>
      <w:pPr>
        <w:spacing w:after="140" w:line="276"/>
      </w:pPr>
      <w:r>
        <w:rPr>
          <w:color w:val="1A1A1A"/>
          <w:sz w:val="21"/>
          <w:szCs w:val="21"/>
        </w:rPr>
        <w:t xml:space="preserve">The third check is the one that matters. If the agents do not hold the trust list, credentials will be signed correctly and rejected at verification, with an error naming the issuer rather than the signature.</w:t>
      </w:r>
    </w:p>
    <w:p>
      <w:pPr>
        <w:pStyle w:val="Heading2"/>
        <w:spacing w:after="140" w:before="320"/>
      </w:pPr>
      <w:r>
        <w:rPr>
          <w:b/>
          <w:bCs/>
          <w:color w:val="1A1A1A"/>
          <w:sz w:val="26"/>
          <w:szCs w:val="26"/>
        </w:rPr>
        <w:t xml:space="preserve">10.4  Resource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1498"/>
        <w:gridCol w:w="1498"/>
        <w:gridCol w:w="4679"/>
      </w:tblGrid>
      <w:tr>
        <w:trPr>
          <w:tblHeader/>
        </w:trPr>
        <w:tc>
          <w:tcPr>
            <w:tcW w:type="dxa" w:w="168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Resource</w:t>
            </w:r>
          </w:p>
        </w:tc>
        <w:tc>
          <w:tcPr>
            <w:tcW w:type="dxa" w:w="149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Request</w:t>
            </w:r>
          </w:p>
        </w:tc>
        <w:tc>
          <w:tcPr>
            <w:tcW w:type="dxa" w:w="149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Limit</w:t>
            </w:r>
          </w:p>
        </w:tc>
        <w:tc>
          <w:tcPr>
            <w:tcW w:type="dxa" w:w="467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Note</w:t>
            </w:r>
          </w:p>
        </w:tc>
      </w:tr>
      <w:tr>
        <w:trPr>
          <w:cantSplit/>
        </w:trPr>
        <w:tc>
          <w:tcPr>
            <w:tcW w:type="dxa" w:w="168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CPU</w:t>
            </w:r>
          </w:p>
        </w:tc>
        <w:tc>
          <w:tcPr>
            <w:tcW w:type="dxa" w:w="149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50m</w:t>
            </w:r>
          </w:p>
        </w:tc>
        <w:tc>
          <w:tcPr>
            <w:tcW w:type="dxa" w:w="149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500m</w:t>
            </w:r>
          </w:p>
        </w:tc>
        <w:tc>
          <w:tcPr>
            <w:tcW w:type="dxa" w:w="467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A signature is tens of microseconds; the load is human-paced</w:t>
            </w:r>
          </w:p>
        </w:tc>
      </w:tr>
      <w:tr>
        <w:trPr>
          <w:cantSplit/>
        </w:trPr>
        <w:tc>
          <w:tcPr>
            <w:tcW w:type="dxa" w:w="168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Memory</w:t>
            </w:r>
          </w:p>
        </w:tc>
        <w:tc>
          <w:tcPr>
            <w:tcW w:type="dxa" w:w="149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64Mi</w:t>
            </w:r>
          </w:p>
        </w:tc>
        <w:tc>
          <w:tcPr>
            <w:tcW w:type="dxa" w:w="149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256Mi</w:t>
            </w:r>
          </w:p>
        </w:tc>
        <w:tc>
          <w:tcPr>
            <w:tcW w:type="dxa" w:w="467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The binary, the embedded interface and a small audit ring</w:t>
            </w:r>
          </w:p>
        </w:tc>
      </w:tr>
      <w:tr>
        <w:trPr>
          <w:cantSplit/>
        </w:trPr>
        <w:tc>
          <w:tcPr>
            <w:tcW w:type="dxa" w:w="168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Storage</w:t>
            </w:r>
          </w:p>
        </w:tc>
        <w:tc>
          <w:tcPr>
            <w:tcW w:type="dxa" w:w="149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none</w:t>
            </w:r>
          </w:p>
        </w:tc>
        <w:tc>
          <w:tcPr>
            <w:tcW w:type="dxa" w:w="149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none</w:t>
            </w:r>
          </w:p>
        </w:tc>
        <w:tc>
          <w:tcPr>
            <w:tcW w:type="dxa" w:w="4679"/>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No persistent volume; records go to OptimusDB</w:t>
            </w:r>
          </w:p>
        </w:tc>
      </w:tr>
    </w:tbl>
    <w:p>
      <w:pPr>
        <w:spacing w:after="140" w:line="276"/>
      </w:pPr>
      <w:r>
        <w:rPr>
          <w:color w:val="1A1A1A"/>
          <w:sz w:val="21"/>
          <w:szCs w:val="21"/>
        </w:rPr>
        <w:t xml:space="preserve"/>
      </w:r>
    </w:p>
    <w:p>
      <w:r>
        <w:br w:type="page"/>
      </w:r>
    </w:p>
    <w:p>
      <w:pPr>
        <w:pStyle w:val="Heading1"/>
        <w:spacing w:after="200" w:before="400"/>
      </w:pPr>
      <w:r>
        <w:rPr>
          <w:b/>
          <w:bCs/>
          <w:color w:val="1A1A1A"/>
          <w:sz w:val="34"/>
          <w:szCs w:val="34"/>
        </w:rPr>
        <w:t xml:space="preserve">11  Operations</w:t>
      </w:r>
    </w:p>
    <w:p>
      <w:pPr>
        <w:pStyle w:val="Heading2"/>
        <w:spacing w:after="140" w:before="320"/>
      </w:pPr>
      <w:r>
        <w:rPr>
          <w:b/>
          <w:bCs/>
          <w:color w:val="1A1A1A"/>
          <w:sz w:val="26"/>
          <w:szCs w:val="26"/>
        </w:rPr>
        <w:t xml:space="preserve">11.1  Onboarding an application</w:t>
      </w:r>
    </w:p>
    <w:p>
      <w:pPr>
        <w:spacing w:after="80" w:before="160" w:line="240" w:lineRule="auto"/>
        <w:jc w:val="center"/>
      </w:pPr>
      <w:r>
        <w:drawing>
          <wp:inline distT="0" distB="0" distL="0" distR="0">
            <wp:extent cx="5848350" cy="2924175"/>
            <wp:effectExtent t="0" r="0" b="0" l="0"/>
            <wp:docPr id="10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 name="" descr=""/>
                    <pic:cNvPicPr>
                      <a:picLocks noChangeAspect="1" noChangeArrowheads="1"/>
                    </pic:cNvPicPr>
                  </pic:nvPicPr>
                  <pic:blipFill>
                    <a:blip r:embed="rId14" cstate="none"/>
                    <a:srcRect/>
                    <a:stretch>
                      <a:fillRect/>
                    </a:stretch>
                  </pic:blipFill>
                  <pic:spPr bwMode="auto">
                    <a:xfrm>
                      <a:off x="0" y="0"/>
                      <a:ext cx="5848350" cy="2924175"/>
                    </a:xfrm>
                    <a:prstGeom prst="rect">
                      <a:avLst/>
                    </a:prstGeom>
                  </pic:spPr>
                </pic:pic>
              </a:graphicData>
            </a:graphic>
          </wp:inline>
        </w:drawing>
      </w:r>
    </w:p>
    <w:p>
      <w:pPr>
        <w:spacing w:after="240"/>
        <w:jc w:val="center"/>
      </w:pPr>
      <w:r>
        <w:rPr>
          <w:i/>
          <w:iCs/>
          <w:color w:val="595959"/>
          <w:sz w:val="17"/>
          <w:szCs w:val="17"/>
        </w:rPr>
        <w:t xml:space="preserve">Figure 11.1 — Request to credential. The agents are not involved until the application first uses what it receives.</w:t>
      </w:r>
    </w:p>
    <w:p>
      <w:pPr>
        <w:pStyle w:val="ListParagraph"/>
        <w:numPr>
          <w:ilvl w:val="0"/>
          <w:numId w:val="2"/>
        </w:numPr>
        <w:spacing w:after="90" w:line="276"/>
      </w:pPr>
      <w:r>
        <w:rPr>
          <w:color w:val="1A1A1A"/>
          <w:sz w:val="21"/>
          <w:szCs w:val="21"/>
        </w:rPr>
        <w:t xml:space="preserve">The applicant generates a key pair on its own machine and sends the DID. Nothing secret is transmitted.</w:t>
      </w:r>
    </w:p>
    <w:p>
      <w:pPr>
        <w:pStyle w:val="ListParagraph"/>
        <w:numPr>
          <w:ilvl w:val="0"/>
          <w:numId w:val="2"/>
        </w:numPr>
        <w:spacing w:after="90" w:line="276"/>
      </w:pPr>
      <w:r>
        <w:rPr>
          <w:color w:val="1A1A1A"/>
          <w:sz w:val="21"/>
          <w:szCs w:val="21"/>
        </w:rPr>
        <w:t xml:space="preserve">The applicant submits a request, or the operator enters the details directly.</w:t>
      </w:r>
    </w:p>
    <w:p>
      <w:pPr>
        <w:pStyle w:val="ListParagraph"/>
        <w:numPr>
          <w:ilvl w:val="0"/>
          <w:numId w:val="2"/>
        </w:numPr>
        <w:spacing w:after="90" w:line="276"/>
      </w:pPr>
      <w:r>
        <w:rPr>
          <w:color w:val="1A1A1A"/>
          <w:sz w:val="21"/>
          <w:szCs w:val="21"/>
        </w:rPr>
        <w:t xml:space="preserve">The operator verifies out of band that the DID belongs to the party named. This is the human checkpoint and cannot be automated.</w:t>
      </w:r>
    </w:p>
    <w:p>
      <w:pPr>
        <w:pStyle w:val="ListParagraph"/>
        <w:numPr>
          <w:ilvl w:val="0"/>
          <w:numId w:val="2"/>
        </w:numPr>
        <w:spacing w:after="90" w:line="276"/>
      </w:pPr>
      <w:r>
        <w:rPr>
          <w:color w:val="1A1A1A"/>
          <w:sz w:val="21"/>
          <w:szCs w:val="21"/>
        </w:rPr>
        <w:t xml:space="preserve">The operator narrows the capabilities to the minimum that works and approves.</w:t>
      </w:r>
    </w:p>
    <w:p>
      <w:pPr>
        <w:pStyle w:val="ListParagraph"/>
        <w:numPr>
          <w:ilvl w:val="0"/>
          <w:numId w:val="2"/>
        </w:numPr>
        <w:spacing w:after="90" w:line="276"/>
      </w:pPr>
      <w:r>
        <w:rPr>
          <w:color w:val="1A1A1A"/>
          <w:sz w:val="21"/>
          <w:szCs w:val="21"/>
        </w:rPr>
        <w:t xml:space="preserve">The credential file is returned to the applicant, who places it beside the private key.</w:t>
      </w:r>
    </w:p>
    <w:p>
      <w:pPr>
        <w:spacing w:after="140" w:line="276"/>
      </w:pPr>
      <w:r>
        <w:rPr>
          <w:color w:val="1A1A1A"/>
          <w:sz w:val="21"/>
          <w:szCs w:val="21"/>
        </w:rPr>
        <w:t xml:space="preserve">No agent is contacted during any of this, and no agent needs restarting. The agents already accept credentials signed by this issuer because its DID is in the trust list.</w:t>
      </w:r>
    </w:p>
    <w:p>
      <w:pPr>
        <w:pStyle w:val="Heading2"/>
        <w:spacing w:after="140" w:before="320"/>
      </w:pPr>
      <w:r>
        <w:rPr>
          <w:b/>
          <w:bCs/>
          <w:color w:val="1A1A1A"/>
          <w:sz w:val="26"/>
          <w:szCs w:val="26"/>
        </w:rPr>
        <w:t xml:space="preserve">11.2  Revoking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through the interface, or</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curl -s -X POST https://HOST/issuer/api/v1/issuer/credentials/urn:uuid:vc-7d3f/revoke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-H "Authorization: Bearer $TOKEN"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-H "Content-Type: application/json" \</w:t>
            </w:r>
          </w:p>
        </w:tc>
      </w:tr>
      <w:tr>
        <w:trPr>
          <w:cantSplit/>
        </w:trPr>
        <w:tc>
          <w:tcPr>
            <w:tcW w:type="dxa" w:w="9360"/>
            <w:tcBorders>
              <w:top w:val="none" w:color="auto" w:sz="0"/>
              <w:left w:val="single" w:color="BFBFBF" w:sz="4"/>
              <w:bottom w:val="single" w:color="BFBFBF" w:sz="4"/>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-d '{"reason":"application decommissioned"}'</w:t>
            </w:r>
          </w:p>
        </w:tc>
      </w:tr>
    </w:tbl>
    <w:p>
      <w:pPr>
        <w:spacing w:after="120" w:line="276"/>
      </w:pPr>
      <w:r>
        <w:rPr>
          <w:color w:val="1A1A1A"/>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8A8A8A" w:sz="18"/>
              <w:bottom w:val="single" w:color="BFBFBF" w:sz="4"/>
              <w:right w:val="single" w:color="BFBFBF" w:sz="4"/>
            </w:tcBorders>
            <w:shd w:fill="FAFAF7" w:color="auto" w:val="clear"/>
            <w:tcMar>
              <w:top w:type="dxa" w:w="120"/>
              <w:left w:type="dxa" w:w="160"/>
              <w:bottom w:type="dxa" w:w="120"/>
              <w:right w:type="dxa" w:w="160"/>
            </w:tcMar>
          </w:tcPr>
          <w:p>
            <w:pPr>
              <w:spacing w:after="70"/>
            </w:pPr>
            <w:r>
              <w:rPr>
                <w:b/>
                <w:bCs/>
                <w:color w:val="1A1A1A"/>
                <w:sz w:val="19"/>
                <w:szCs w:val="19"/>
              </w:rPr>
              <w:t xml:space="preserve">Revocation is not immediate</w:t>
            </w:r>
          </w:p>
          <w:p>
            <w:pPr>
              <w:spacing w:after="0" w:line="270"/>
            </w:pPr>
            <w:r>
              <w:rPr>
                <w:color w:val="1A1A1A"/>
                <w:sz w:val="19"/>
                <w:szCs w:val="19"/>
              </w:rPr>
              <w:t xml:space="preserve">The record is written to kbtrust and takes effect as it replicates and as each agent refreshes its cache — seconds to minutes in a healthy swarm, longer if an agent is partitioned. Between the write and the refresh the credential still verifies. Short lifetimes are the primary control; revocation is for emergencies.</w:t>
            </w:r>
          </w:p>
        </w:tc>
      </w:tr>
    </w:tbl>
    <w:p>
      <w:pPr>
        <w:spacing w:after="200" w:line="276"/>
      </w:pPr>
      <w:r>
        <w:rPr>
          <w:color w:val="1A1A1A"/>
          <w:sz w:val="21"/>
          <w:szCs w:val="21"/>
        </w:rPr>
        <w:t xml:space="preserve"/>
      </w:r>
    </w:p>
    <w:p>
      <w:pPr>
        <w:pStyle w:val="Heading2"/>
        <w:spacing w:after="140" w:before="320"/>
      </w:pPr>
      <w:r>
        <w:rPr>
          <w:b/>
          <w:bCs/>
          <w:color w:val="1A1A1A"/>
          <w:sz w:val="26"/>
          <w:szCs w:val="26"/>
        </w:rPr>
        <w:t xml:space="preserve">11.3  Routine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1498"/>
        <w:gridCol w:w="4680"/>
      </w:tblGrid>
      <w:tr>
        <w:trPr>
          <w:tblHeader/>
        </w:trPr>
        <w:tc>
          <w:tcPr>
            <w:tcW w:type="dxa" w:w="318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Task</w:t>
            </w:r>
          </w:p>
        </w:tc>
        <w:tc>
          <w:tcPr>
            <w:tcW w:type="dxa" w:w="149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Cadence</w:t>
            </w:r>
          </w:p>
        </w:tc>
        <w:tc>
          <w:tcPr>
            <w:tcW w:type="dxa" w:w="46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How</w:t>
            </w:r>
          </w:p>
        </w:tc>
      </w:tr>
      <w:tr>
        <w:trPr>
          <w:cantSplit/>
        </w:trPr>
        <w:tc>
          <w:tcPr>
            <w:tcW w:type="dxa" w:w="318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Review credentials expiring soon</w:t>
            </w:r>
          </w:p>
        </w:tc>
        <w:tc>
          <w:tcPr>
            <w:tcW w:type="dxa" w:w="149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Weekly</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Credentials view highlights anything inside two weeks</w:t>
            </w:r>
          </w:p>
        </w:tc>
      </w:tr>
      <w:tr>
        <w:trPr>
          <w:cantSplit/>
        </w:trPr>
        <w:tc>
          <w:tcPr>
            <w:tcW w:type="dxa" w:w="318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Review wildcard grants</w:t>
            </w:r>
          </w:p>
        </w:tc>
        <w:tc>
          <w:tcPr>
            <w:tcW w:type="dxa" w:w="149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Monthly</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Audit view; narrow and reissue where possible</w:t>
            </w:r>
          </w:p>
        </w:tc>
      </w:tr>
      <w:tr>
        <w:trPr>
          <w:cantSplit/>
        </w:trPr>
        <w:tc>
          <w:tcPr>
            <w:tcW w:type="dxa" w:w="318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Review the trust list</w:t>
            </w:r>
          </w:p>
        </w:tc>
        <w:tc>
          <w:tcPr>
            <w:tcW w:type="dxa" w:w="149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Quarterly</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Confirm every entry is still warranted</w:t>
            </w:r>
          </w:p>
        </w:tc>
      </w:tr>
      <w:tr>
        <w:trPr>
          <w:cantSplit/>
        </w:trPr>
        <w:tc>
          <w:tcPr>
            <w:tcW w:type="dxa" w:w="318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Confirm the root key is where the record says</w:t>
            </w:r>
          </w:p>
        </w:tc>
        <w:tc>
          <w:tcPr>
            <w:tcW w:type="dxa" w:w="149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Annually</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Physical check against the ceremony document</w:t>
            </w:r>
          </w:p>
        </w:tc>
      </w:tr>
      <w:tr>
        <w:trPr>
          <w:cantSplit/>
        </w:trPr>
        <w:tc>
          <w:tcPr>
            <w:tcW w:type="dxa" w:w="3182"/>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Rehearse service key rotation</w:t>
            </w:r>
          </w:p>
        </w:tc>
        <w:tc>
          <w:tcPr>
            <w:tcW w:type="dxa" w:w="149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Annually</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On a copy of the deployment, not in production</w:t>
            </w:r>
          </w:p>
        </w:tc>
      </w:tr>
    </w:tbl>
    <w:p>
      <w:pPr>
        <w:spacing w:after="220" w:line="276"/>
      </w:pPr>
      <w:r>
        <w:rPr>
          <w:i/>
          <w:iCs/>
          <w:color w:val="595959"/>
          <w:sz w:val="17"/>
          <w:szCs w:val="17"/>
        </w:rPr>
        <w:t xml:space="preserve">Table 11.1 — Operational rhythm</w:t>
      </w:r>
    </w:p>
    <w:p>
      <w:pPr>
        <w:pStyle w:val="Heading2"/>
        <w:spacing w:after="140" w:before="320"/>
      </w:pPr>
      <w:r>
        <w:rPr>
          <w:b/>
          <w:bCs/>
          <w:color w:val="1A1A1A"/>
          <w:sz w:val="26"/>
          <w:szCs w:val="26"/>
        </w:rPr>
        <w:t xml:space="preserve">11.4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2995"/>
        <w:gridCol w:w="3931"/>
      </w:tblGrid>
      <w:tr>
        <w:trPr>
          <w:tblHeader/>
        </w:trPr>
        <w:tc>
          <w:tcPr>
            <w:tcW w:type="dxa" w:w="243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Symptom</w:t>
            </w:r>
          </w:p>
        </w:tc>
        <w:tc>
          <w:tcPr>
            <w:tcW w:type="dxa" w:w="299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Likely cause</w:t>
            </w:r>
          </w:p>
        </w:tc>
        <w:tc>
          <w:tcPr>
            <w:tcW w:type="dxa" w:w="393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Action</w:t>
            </w:r>
          </w:p>
        </w:tc>
      </w:tr>
      <w:tr>
        <w:trPr>
          <w:cantSplit/>
        </w:trPr>
        <w:tc>
          <w:tcPr>
            <w:tcW w:type="dxa" w:w="243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Service will not start, key error</w:t>
            </w:r>
          </w:p>
        </w:tc>
        <w:tc>
          <w:tcPr>
            <w:tcW w:type="dxa" w:w="299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Key file mode is not 0600, or the DID does not match the key</w:t>
            </w:r>
          </w:p>
        </w:tc>
        <w:tc>
          <w:tcPr>
            <w:tcW w:type="dxa" w:w="393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Check the Secret's defaultMode; regenerate if the key is wrong</w:t>
            </w:r>
          </w:p>
        </w:tc>
      </w:tr>
      <w:tr>
        <w:trPr>
          <w:cantSplit/>
        </w:trPr>
        <w:tc>
          <w:tcPr>
            <w:tcW w:type="dxa" w:w="243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Health returns 503</w:t>
            </w:r>
          </w:p>
        </w:tc>
        <w:tc>
          <w:tcPr>
            <w:tcW w:type="dxa" w:w="299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The agent is unreachable</w:t>
            </w:r>
          </w:p>
        </w:tc>
        <w:tc>
          <w:tcPr>
            <w:tcW w:type="dxa" w:w="393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Issuance will fail; verification is unaffected</w:t>
            </w:r>
          </w:p>
        </w:tc>
      </w:tr>
      <w:tr>
        <w:trPr>
          <w:cantSplit/>
        </w:trPr>
        <w:tc>
          <w:tcPr>
            <w:tcW w:type="dxa" w:w="243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Credentials sign but agents reject them</w:t>
            </w:r>
          </w:p>
        </w:tc>
        <w:tc>
          <w:tcPr>
            <w:tcW w:type="dxa" w:w="299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The genesis list was not applied, or the issuer is inactive</w:t>
            </w:r>
          </w:p>
        </w:tc>
        <w:tc>
          <w:tcPr>
            <w:tcW w:type="dxa" w:w="393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Query kbtrust for trusted_issuer records</w:t>
            </w:r>
          </w:p>
        </w:tc>
      </w:tr>
      <w:tr>
        <w:trPr>
          <w:cantSplit/>
        </w:trPr>
        <w:tc>
          <w:tcPr>
            <w:tcW w:type="dxa" w:w="243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Signature errors on every credential</w:t>
            </w:r>
          </w:p>
        </w:tc>
        <w:tc>
          <w:tcPr>
            <w:tcW w:type="dxa" w:w="299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Canonicalisation mismatch between issuer and agent</w:t>
            </w:r>
          </w:p>
        </w:tc>
        <w:tc>
          <w:tcPr>
            <w:tcW w:type="dxa" w:w="393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Run the round-trip tests in both codebases against the same fixture</w:t>
            </w:r>
          </w:p>
        </w:tc>
      </w:tr>
      <w:tr>
        <w:trPr>
          <w:cantSplit/>
        </w:trPr>
        <w:tc>
          <w:tcPr>
            <w:tcW w:type="dxa" w:w="243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Operators cannot sign in</w:t>
            </w:r>
          </w:p>
        </w:tc>
        <w:tc>
          <w:tcPr>
            <w:tcW w:type="dxa" w:w="299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Keycloak unreachable, or the realm roles are missing</w:t>
            </w:r>
          </w:p>
        </w:tc>
        <w:tc>
          <w:tcPr>
            <w:tcW w:type="dxa" w:w="393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The cached key set covers a brief outage; check role assignment</w:t>
            </w:r>
          </w:p>
        </w:tc>
      </w:tr>
      <w:tr>
        <w:trPr>
          <w:cantSplit/>
        </w:trPr>
        <w:tc>
          <w:tcPr>
            <w:tcW w:type="dxa" w:w="243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Approve returns 409</w:t>
            </w:r>
          </w:p>
        </w:tc>
        <w:tc>
          <w:tcPr>
            <w:tcW w:type="dxa" w:w="2995"/>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A wildcard capability requires a second operator</w:t>
            </w:r>
          </w:p>
        </w:tc>
        <w:tc>
          <w:tcPr>
            <w:tcW w:type="dxa" w:w="3931"/>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Narrow the capabilities, or have a colleague confirm</w:t>
            </w:r>
          </w:p>
        </w:tc>
      </w:tr>
    </w:tbl>
    <w:p>
      <w:pPr>
        <w:spacing w:after="220" w:line="276"/>
      </w:pPr>
      <w:r>
        <w:rPr>
          <w:i/>
          <w:iCs/>
          <w:color w:val="595959"/>
          <w:sz w:val="17"/>
          <w:szCs w:val="17"/>
        </w:rPr>
        <w:t xml:space="preserve">Table 11.2 — Diagnosis</w:t>
      </w:r>
    </w:p>
    <w:p>
      <w:pPr>
        <w:pStyle w:val="Heading2"/>
        <w:spacing w:after="140" w:before="320"/>
      </w:pPr>
      <w:r>
        <w:rPr>
          <w:b/>
          <w:bCs/>
          <w:color w:val="1A1A1A"/>
          <w:sz w:val="26"/>
          <w:szCs w:val="26"/>
        </w:rPr>
        <w:t xml:space="preserve">11.5  Backup</w:t>
      </w:r>
    </w:p>
    <w:p>
      <w:pPr>
        <w:spacing w:after="140" w:line="276"/>
      </w:pPr>
      <w:r>
        <w:rPr>
          <w:color w:val="1A1A1A"/>
          <w:sz w:val="21"/>
          <w:szCs w:val="21"/>
        </w:rPr>
        <w:t xml:space="preserve">There is nothing in this service to back up except the key, and the key is not backed up by any automated process — it is held according to the ceremony record. Everything else lives in OptimusDB stores and is captured by the existing export.</w:t>
      </w:r>
    </w:p>
    <w:p>
      <w:pPr>
        <w:spacing w:after="140" w:line="276"/>
      </w:pPr>
      <w:r>
        <w:rPr>
          <w:color w:val="1A1A1A"/>
          <w:sz w:val="21"/>
          <w:szCs w:val="21"/>
        </w:rPr>
        <w:t xml:space="preserve">This is worth stating plainly because it inverts the usual expectation. Losing the optimusIssuer pod costs nothing. Losing the root key costs the ability to recover from a service key compromise, and no backup system can help if the key was never written anywhere a backup could reach.</w:t>
      </w:r>
    </w:p>
    <w:p>
      <w:r>
        <w:br w:type="page"/>
      </w:r>
    </w:p>
    <w:p>
      <w:pPr>
        <w:pStyle w:val="Heading1"/>
        <w:spacing w:after="200" w:before="400"/>
      </w:pPr>
      <w:r>
        <w:rPr>
          <w:b/>
          <w:bCs/>
          <w:color w:val="1A1A1A"/>
          <w:sz w:val="34"/>
          <w:szCs w:val="34"/>
        </w:rPr>
        <w:t xml:space="preserve">12  Federation</w:t>
      </w:r>
    </w:p>
    <w:p>
      <w:pPr>
        <w:pStyle w:val="Heading2"/>
        <w:spacing w:after="140" w:before="320"/>
      </w:pPr>
      <w:r>
        <w:rPr>
          <w:b/>
          <w:bCs/>
          <w:color w:val="1A1A1A"/>
          <w:sz w:val="26"/>
          <w:szCs w:val="26"/>
        </w:rPr>
        <w:t xml:space="preserve">12.1  Adding a partner issuer</w:t>
      </w:r>
    </w:p>
    <w:p>
      <w:pPr>
        <w:spacing w:after="140" w:line="276"/>
      </w:pPr>
      <w:r>
        <w:rPr>
          <w:color w:val="1A1A1A"/>
          <w:sz w:val="21"/>
          <w:szCs w:val="21"/>
        </w:rPr>
        <w:t xml:space="preserve">The single most consequential thing this service can do is add another party to the trust list. After that record replicates, every agent accepts credentials that party signs, and the partner onboards its own applications without involving this deployment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POST /api/v1/issuer/trust        # requires issuer:admin</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"_id": "did:key:zSZTAKI...",</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"name": "SZTAKI Issuing Authority",</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"may_issue": ["OptimusDBCapability"],</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"max_delegation_depth": 2,</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"status": "active"</w:t>
            </w:r>
          </w:p>
        </w:tc>
      </w:tr>
      <w:tr>
        <w:trPr>
          <w:cantSplit/>
        </w:trPr>
        <w:tc>
          <w:tcPr>
            <w:tcW w:type="dxa" w:w="9360"/>
            <w:tcBorders>
              <w:top w:val="none" w:color="auto" w:sz="0"/>
              <w:left w:val="single" w:color="BFBFBF" w:sz="4"/>
              <w:bottom w:val="single" w:color="BFBFBF" w:sz="4"/>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w:t>
            </w:r>
          </w:p>
        </w:tc>
      </w:tr>
    </w:tbl>
    <w:p>
      <w:pPr>
        <w:spacing w:after="120" w:line="276"/>
      </w:pPr>
      <w:r>
        <w:rPr>
          <w:color w:val="1A1A1A"/>
          <w:sz w:val="21"/>
          <w:szCs w:val="21"/>
        </w:rPr>
        <w:t xml:space="preserve"/>
      </w:r>
    </w:p>
    <w:p>
      <w:pPr>
        <w:pStyle w:val="Heading2"/>
        <w:spacing w:after="140" w:before="320"/>
      </w:pPr>
      <w:r>
        <w:rPr>
          <w:b/>
          <w:bCs/>
          <w:color w:val="1A1A1A"/>
          <w:sz w:val="26"/>
          <w:szCs w:val="26"/>
        </w:rPr>
        <w:t xml:space="preserve">12.2  What changes at that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Before</w:t>
            </w:r>
          </w:p>
        </w:tc>
        <w:tc>
          <w:tcPr>
            <w:tcW w:type="dxa" w:w="46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After</w:t>
            </w:r>
          </w:p>
        </w:tc>
      </w:tr>
      <w:tr>
        <w:trPr>
          <w:cantSplit/>
        </w:trP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One party decides who may act in the swarm</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Several do, independently</w:t>
            </w:r>
          </w:p>
        </w:tc>
      </w:tr>
      <w:tr>
        <w:trPr>
          <w:cantSplit/>
        </w:trP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Onboarding a partner's application requires this service</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The partner issues to its own applications</w:t>
            </w:r>
          </w:p>
        </w:tc>
      </w:tr>
      <w:tr>
        <w:trPr>
          <w:cantSplit/>
        </w:trP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Compromise of one issuer affects everything</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Affects only credentials that issuer signed</w:t>
            </w:r>
          </w:p>
        </w:tc>
      </w:tr>
      <w:tr>
        <w:trPr>
          <w:cantSplit/>
        </w:trP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The claim is a system with keys</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The claim is federation, demonstrable rather than asserted</w:t>
            </w:r>
          </w:p>
        </w:tc>
      </w:tr>
    </w:tbl>
    <w:p>
      <w:pPr>
        <w:spacing w:after="140" w:line="276"/>
      </w:pPr>
      <w:r>
        <w:rPr>
          <w:color w:val="1A1A1A"/>
          <w:sz w:val="21"/>
          <w:szCs w:val="21"/>
        </w:rPr>
        <w:t xml:space="preserve"/>
      </w:r>
    </w:p>
    <w:p>
      <w:pPr>
        <w:pStyle w:val="Heading2"/>
        <w:spacing w:after="140" w:before="320"/>
      </w:pPr>
      <w:r>
        <w:rPr>
          <w:b/>
          <w:bCs/>
          <w:color w:val="1A1A1A"/>
          <w:sz w:val="26"/>
          <w:szCs w:val="26"/>
        </w:rPr>
        <w:t xml:space="preserve">12.3  Bounding a partner</w:t>
      </w:r>
    </w:p>
    <w:p>
      <w:pPr>
        <w:spacing w:after="140" w:line="276"/>
      </w:pPr>
      <w:r>
        <w:rPr>
          <w:color w:val="1A1A1A"/>
          <w:sz w:val="21"/>
          <w:szCs w:val="21"/>
        </w:rPr>
        <w:t xml:space="preserve">A trusted issuer record is not a blank cheque. Three fields constrain it, and they are enforced by the verifier rather than by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Field</w:t>
            </w:r>
          </w:p>
        </w:tc>
        <w:tc>
          <w:tcPr>
            <w:tcW w:type="dxa" w:w="69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Effect</w:t>
            </w:r>
          </w:p>
        </w:tc>
      </w:tr>
      <w:tr>
        <w:trPr>
          <w:cantSplit/>
        </w:trPr>
        <w:tc>
          <w:tcPr>
            <w:tcW w:type="dxa" w:w="243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may_issue</w:t>
            </w:r>
          </w:p>
        </w:tc>
        <w:tc>
          <w:tcPr>
            <w:tcW w:type="dxa" w:w="6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A credential whose type is absent is rejected even if correctly signed</w:t>
            </w:r>
          </w:p>
        </w:tc>
      </w:tr>
      <w:tr>
        <w:trPr>
          <w:cantSplit/>
        </w:trPr>
        <w:tc>
          <w:tcPr>
            <w:tcW w:type="dxa" w:w="243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max_capabilities</w:t>
            </w:r>
          </w:p>
        </w:tc>
        <w:tc>
          <w:tcPr>
            <w:tcW w:type="dxa" w:w="6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A credential granting more than this is rejected, not trimmed</w:t>
            </w:r>
          </w:p>
        </w:tc>
      </w:tr>
      <w:tr>
        <w:trPr>
          <w:cantSplit/>
        </w:trPr>
        <w:tc>
          <w:tcPr>
            <w:tcW w:type="dxa" w:w="243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max_delegation_depth</w:t>
            </w:r>
          </w:p>
        </w:tc>
        <w:tc>
          <w:tcPr>
            <w:tcW w:type="dxa" w:w="6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Zero disables delegation for this issuer's credentials</w:t>
            </w:r>
          </w:p>
        </w:tc>
      </w:tr>
    </w:tbl>
    <w:p>
      <w:pPr>
        <w:spacing w:after="140" w:line="276"/>
      </w:pPr>
      <w:r>
        <w:rPr>
          <w:color w:val="1A1A1A"/>
          <w:sz w:val="21"/>
          <w:szCs w:val="21"/>
        </w:rPr>
        <w:t xml:space="preserve"/>
      </w:r>
    </w:p>
    <w:p>
      <w:pPr>
        <w:spacing w:after="140" w:line="276"/>
      </w:pPr>
      <w:r>
        <w:rPr>
          <w:color w:val="1A1A1A"/>
          <w:sz w:val="21"/>
          <w:szCs w:val="21"/>
        </w:rPr>
        <w:t xml:space="preserve">Rejecting rather than trimming is deliberate. Silently reducing a caller's permissions produces behaviour that is difficult to diagnose; an explicit rejection names the problem.</w:t>
      </w:r>
    </w:p>
    <w:p>
      <w:pPr>
        <w:pStyle w:val="Heading2"/>
        <w:spacing w:after="140" w:before="320"/>
      </w:pPr>
      <w:r>
        <w:rPr>
          <w:b/>
          <w:bCs/>
          <w:color w:val="1A1A1A"/>
          <w:sz w:val="26"/>
          <w:szCs w:val="26"/>
        </w:rPr>
        <w:t xml:space="preserve">12.4  Governance</w:t>
      </w:r>
    </w:p>
    <w:p>
      <w:pPr>
        <w:spacing w:after="140" w:line="276"/>
      </w:pPr>
      <w:r>
        <w:rPr>
          <w:color w:val="1A1A1A"/>
          <w:sz w:val="21"/>
          <w:szCs w:val="21"/>
        </w:rPr>
        <w:t xml:space="preserve">Who may add an issuer is itself a policy decision, and three options are available. Genesis-only, where the authority remains with whoever holds the root key, is simplest and is the recommended starting point. Delegated, where any issuer holding trust:admin may add another within its own limits, suits a federation of partner organisations. Quorum, where a change requires records from a majority of active issuers, is the most defensible for a genuinely open swarm and requires a convergence rule the present implementation does not provide.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8A8A8A" w:sz="18"/>
              <w:bottom w:val="single" w:color="BFBFBF" w:sz="4"/>
              <w:right w:val="single" w:color="BFBFBF" w:sz="4"/>
            </w:tcBorders>
            <w:shd w:fill="FAFAF7" w:color="auto" w:val="clear"/>
            <w:tcMar>
              <w:top w:type="dxa" w:w="120"/>
              <w:left w:type="dxa" w:w="160"/>
              <w:bottom w:type="dxa" w:w="120"/>
              <w:right w:type="dxa" w:w="160"/>
            </w:tcMar>
          </w:tcPr>
          <w:p>
            <w:pPr>
              <w:spacing w:after="70"/>
            </w:pPr>
            <w:r>
              <w:rPr>
                <w:b/>
                <w:bCs/>
                <w:color w:val="1A1A1A"/>
                <w:sz w:val="19"/>
                <w:szCs w:val="19"/>
              </w:rPr>
              <w:t xml:space="preserve">The honest limit</w:t>
            </w:r>
          </w:p>
          <w:p>
            <w:pPr>
              <w:spacing w:after="0" w:line="270"/>
            </w:pPr>
            <w:r>
              <w:rPr>
                <w:color w:val="1A1A1A"/>
                <w:sz w:val="19"/>
                <w:szCs w:val="19"/>
              </w:rPr>
              <w:t xml:space="preserve">Federation distributes the trust root; it does not remove it. Whoever seeds the genesis list makes a decision nobody else voted on, and the quorum option only moves that decision to the set of issuers already present. What the design achieves is that the decision is declared, auditable and replicated rather than held privately by a running service — which is a real improvement, and a more defensible claim than the absolute one.</w:t>
            </w:r>
          </w:p>
        </w:tc>
      </w:tr>
    </w:tbl>
    <w:p>
      <w:pPr>
        <w:spacing w:after="200" w:line="276"/>
      </w:pPr>
      <w:r>
        <w:rPr>
          <w:color w:val="1A1A1A"/>
          <w:sz w:val="21"/>
          <w:szCs w:val="21"/>
        </w:rPr>
        <w:t xml:space="preserve"/>
      </w:r>
    </w:p>
    <w:p>
      <w:r>
        <w:br w:type="page"/>
      </w:r>
    </w:p>
    <w:p>
      <w:pPr>
        <w:pStyle w:val="Heading1"/>
        <w:spacing w:after="200" w:before="400"/>
      </w:pPr>
      <w:r>
        <w:rPr>
          <w:b/>
          <w:bCs/>
          <w:color w:val="1A1A1A"/>
          <w:sz w:val="34"/>
          <w:szCs w:val="34"/>
        </w:rPr>
        <w:t xml:space="preserve">13  Development and testing</w:t>
      </w:r>
    </w:p>
    <w:p>
      <w:pPr>
        <w:pStyle w:val="Heading2"/>
        <w:spacing w:after="140" w:before="320"/>
      </w:pPr>
      <w:r>
        <w:rPr>
          <w:b/>
          <w:bCs/>
          <w:color w:val="1A1A1A"/>
          <w:sz w:val="26"/>
          <w:szCs w:val="26"/>
        </w:rPr>
        <w:t xml:space="preserve">13.1  Running locally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make keygen        # creates ./dev.key</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make dev           # auth disabled, warns loudly</w:t>
            </w:r>
          </w:p>
        </w:tc>
      </w:tr>
      <w:tr>
        <w:trPr>
          <w:cantSplit/>
        </w:trPr>
        <w:tc>
          <w:tcPr>
            <w:tcW w:type="dxa" w:w="9360"/>
            <w:tcBorders>
              <w:top w:val="none" w:color="auto" w:sz="0"/>
              <w:left w:val="single" w:color="BFBFBF" w:sz="4"/>
              <w:bottom w:val="single" w:color="BFBFBF" w:sz="4"/>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make dev-ui        # Vite on :5173, proxying /api to :8090</w:t>
            </w:r>
          </w:p>
        </w:tc>
      </w:tr>
    </w:tbl>
    <w:p>
      <w:pPr>
        <w:spacing w:after="120" w:line="276"/>
      </w:pPr>
      <w:r>
        <w:rPr>
          <w:color w:val="1A1A1A"/>
          <w:sz w:val="21"/>
          <w:szCs w:val="21"/>
        </w:rPr>
        <w:t xml:space="preserve"/>
      </w:r>
    </w:p>
    <w:p>
      <w:pPr>
        <w:spacing w:after="140" w:line="276"/>
      </w:pPr>
      <w:r>
        <w:rPr>
          <w:color w:val="1A1A1A"/>
          <w:sz w:val="21"/>
          <w:szCs w:val="21"/>
        </w:rPr>
        <w:t xml:space="preserve">With no Keycloak configured every caller is treated as a local admin and the service logs a warning on each start. The mode exists so that the interface can be developed without standing up an identity provider, and it should never reach a deployment.</w:t>
      </w:r>
    </w:p>
    <w:p>
      <w:pPr>
        <w:pStyle w:val="Heading2"/>
        <w:spacing w:after="140" w:before="320"/>
      </w:pPr>
      <w:r>
        <w:rPr>
          <w:b/>
          <w:bCs/>
          <w:color w:val="1A1A1A"/>
          <w:sz w:val="26"/>
          <w:szCs w:val="26"/>
        </w:rPr>
        <w:t xml:space="preserve">13.2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Test</w:t>
            </w:r>
          </w:p>
        </w:tc>
        <w:tc>
          <w:tcPr>
            <w:tcW w:type="dxa" w:w="561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What would break if it failed</w:t>
            </w:r>
          </w:p>
        </w:tc>
      </w:tr>
      <w:tr>
        <w:trPr>
          <w:cantSplit/>
        </w:trPr>
        <w:tc>
          <w:tcPr>
            <w:tcW w:type="dxa" w:w="374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Issue then verify</w:t>
            </w:r>
          </w:p>
        </w:tc>
        <w:tc>
          <w:tcPr>
            <w:tcW w:type="dxa" w:w="561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Credentials this service signs would not verify in the agents</w:t>
            </w:r>
          </w:p>
        </w:tc>
      </w:tr>
      <w:tr>
        <w:trPr>
          <w:cantSplit/>
        </w:trPr>
        <w:tc>
          <w:tcPr>
            <w:tcW w:type="dxa" w:w="374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Verify after JSON round trip</w:t>
            </w:r>
          </w:p>
        </w:tc>
        <w:tc>
          <w:tcPr>
            <w:tcW w:type="dxa" w:w="561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Serialisation would alter what was signed in transit</w:t>
            </w:r>
          </w:p>
        </w:tc>
      </w:tr>
      <w:tr>
        <w:trPr>
          <w:cantSplit/>
        </w:trPr>
        <w:tc>
          <w:tcPr>
            <w:tcW w:type="dxa" w:w="374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Tampered capability rejected</w:t>
            </w:r>
          </w:p>
        </w:tc>
        <w:tc>
          <w:tcPr>
            <w:tcW w:type="dxa" w:w="561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The signature would not cover the grant</w:t>
            </w:r>
          </w:p>
        </w:tc>
      </w:tr>
      <w:tr>
        <w:trPr>
          <w:cantSplit/>
        </w:trPr>
        <w:tc>
          <w:tcPr>
            <w:tcW w:type="dxa" w:w="374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Unsigned credential rejected</w:t>
            </w:r>
          </w:p>
        </w:tc>
        <w:tc>
          <w:tcPr>
            <w:tcW w:type="dxa" w:w="561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Any party could assert any capability</w:t>
            </w:r>
          </w:p>
        </w:tc>
      </w:tr>
      <w:tr>
        <w:trPr>
          <w:cantSplit/>
        </w:trPr>
        <w:tc>
          <w:tcPr>
            <w:tcW w:type="dxa" w:w="374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Expired credential rejected</w:t>
            </w:r>
          </w:p>
        </w:tc>
        <w:tc>
          <w:tcPr>
            <w:tcW w:type="dxa" w:w="561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Expiry would not be a revocation mechanism</w:t>
            </w:r>
          </w:p>
        </w:tc>
      </w:tr>
      <w:tr>
        <w:trPr>
          <w:cantSplit/>
        </w:trPr>
        <w:tc>
          <w:tcPr>
            <w:tcW w:type="dxa" w:w="374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Verification method must match issuer</w:t>
            </w:r>
          </w:p>
        </w:tc>
        <w:tc>
          <w:tcPr>
            <w:tcW w:type="dxa" w:w="561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A credential could name one issuer and be signed by another</w:t>
            </w:r>
          </w:p>
        </w:tc>
      </w:tr>
      <w:tr>
        <w:trPr>
          <w:cantSplit/>
        </w:trPr>
        <w:tc>
          <w:tcPr>
            <w:tcW w:type="dxa" w:w="374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Capability matching, including near-misses</w:t>
            </w:r>
          </w:p>
        </w:tc>
        <w:tc>
          <w:tcPr>
            <w:tcW w:type="dxa" w:w="561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Prefix confusion between store names</w:t>
            </w:r>
          </w:p>
        </w:tc>
      </w:tr>
      <w:tr>
        <w:trPr>
          <w:cantSplit/>
        </w:trPr>
        <w:tc>
          <w:tcPr>
            <w:tcW w:type="dxa" w:w="374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DID round trip and malformed rejection</w:t>
            </w:r>
          </w:p>
        </w:tc>
        <w:tc>
          <w:tcPr>
            <w:tcW w:type="dxa" w:w="561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Identity resolution</w:t>
            </w:r>
          </w:p>
        </w:tc>
      </w:tr>
      <w:tr>
        <w:trPr>
          <w:cantSplit/>
        </w:trPr>
        <w:tc>
          <w:tcPr>
            <w:tcW w:type="dxa" w:w="374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Canonicalisation order independence</w:t>
            </w:r>
          </w:p>
        </w:tc>
        <w:tc>
          <w:tcPr>
            <w:tcW w:type="dxa" w:w="561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The same credential would hash differently on two machines</w:t>
            </w:r>
          </w:p>
        </w:tc>
      </w:tr>
      <w:tr>
        <w:trPr>
          <w:cantSplit/>
        </w:trPr>
        <w:tc>
          <w:tcPr>
            <w:tcW w:type="dxa" w:w="374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Canonicalisation stability across runs</w:t>
            </w:r>
          </w:p>
        </w:tc>
        <w:tc>
          <w:tcPr>
            <w:tcW w:type="dxa" w:w="561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Signatures would be non-deterministic</w:t>
            </w:r>
          </w:p>
        </w:tc>
      </w:tr>
    </w:tbl>
    <w:p>
      <w:pPr>
        <w:spacing w:after="220" w:line="276"/>
      </w:pPr>
      <w:r>
        <w:rPr>
          <w:i/>
          <w:iCs/>
          <w:color w:val="595959"/>
          <w:sz w:val="17"/>
          <w:szCs w:val="17"/>
        </w:rPr>
        <w:t xml:space="preserve">Table 13.1 — What the test suite protects</w:t>
      </w:r>
    </w:p>
    <w:p>
      <w:pPr>
        <w:spacing w:after="140" w:line="276"/>
      </w:pPr>
      <w:r>
        <w:rPr>
          <w:color w:val="1A1A1A"/>
          <w:sz w:val="21"/>
          <w:szCs w:val="21"/>
        </w:rPr>
        <w:t xml:space="preserve">The last two are the ones to watch. A failure there almost certainly means credentials issued by this service will not verify in the agents, and the symptom in the field would be a signature error that sends people to look at keys.</w:t>
      </w:r>
    </w:p>
    <w:p>
      <w:pPr>
        <w:pStyle w:val="Heading2"/>
        <w:spacing w:after="140" w:before="320"/>
      </w:pPr>
      <w:r>
        <w:rPr>
          <w:b/>
          <w:bCs/>
          <w:color w:val="1A1A1A"/>
          <w:sz w:val="26"/>
          <w:szCs w:val="26"/>
        </w:rPr>
        <w:t xml:space="preserve">13.3  Keeping canonicalisation in step</w:t>
      </w:r>
    </w:p>
    <w:p>
      <w:pPr>
        <w:spacing w:after="140" w:line="276"/>
      </w:pPr>
      <w:r>
        <w:rPr>
          <w:color w:val="1A1A1A"/>
          <w:sz w:val="21"/>
          <w:szCs w:val="21"/>
        </w:rPr>
        <w:t xml:space="preserve">The did and canonical packages must produce byte-identical output to the verifier inside the OptimusDB agent. If the two diverge, every credential fails and the failure presents as a forged signature.</w:t>
      </w:r>
    </w:p>
    <w:p>
      <w:pPr>
        <w:spacing w:after="140" w:line="276"/>
      </w:pPr>
      <w:r>
        <w:rPr>
          <w:color w:val="1A1A1A"/>
          <w:sz w:val="21"/>
          <w:szCs w:val="21"/>
        </w:rPr>
        <w:t xml:space="preserve">The safest arrangement is for the agent to vendor these two packages rather than reimplement them. Where that is not possible, the same fixtures should be run against both implementations in each project's test suite, and any change to either package should be treated as a change to both.</w:t>
      </w:r>
    </w:p>
    <w:p>
      <w:r>
        <w:br w:type="page"/>
      </w:r>
    </w:p>
    <w:p>
      <w:pPr>
        <w:pStyle w:val="Heading1"/>
        <w:spacing w:after="200" w:before="400"/>
      </w:pPr>
      <w:r>
        <w:rPr>
          <w:b/>
          <w:bCs/>
          <w:color w:val="1A1A1A"/>
          <w:sz w:val="34"/>
          <w:szCs w:val="34"/>
        </w:rPr>
        <w:t xml:space="preserve">Appendix A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434"/>
        <w:gridCol w:w="4118"/>
      </w:tblGrid>
      <w:tr>
        <w:trPr>
          <w:tblHeader/>
        </w:trPr>
        <w:tc>
          <w:tcPr>
            <w:tcW w:type="dxa" w:w="280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Flag</w:t>
            </w:r>
          </w:p>
        </w:tc>
        <w:tc>
          <w:tcPr>
            <w:tcW w:type="dxa" w:w="243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Default</w:t>
            </w:r>
          </w:p>
        </w:tc>
        <w:tc>
          <w:tcPr>
            <w:tcW w:type="dxa" w:w="411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Purpose</w:t>
            </w:r>
          </w:p>
        </w:tc>
      </w:tr>
      <w:tr>
        <w:trPr>
          <w:cantSplit/>
        </w:trPr>
        <w:tc>
          <w:tcPr>
            <w:tcW w:type="dxa" w:w="28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rFonts w:ascii="Consolas" w:cs="Consolas" w:eastAsia="Consolas" w:hAnsi="Consolas"/>
                <w:color w:val="1A1A1A"/>
                <w:sz w:val="18"/>
                <w:szCs w:val="18"/>
              </w:rPr>
              <w:t xml:space="preserve">-addr</w:t>
            </w:r>
          </w:p>
        </w:tc>
        <w:tc>
          <w:tcPr>
            <w:tcW w:type="dxa" w:w="243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:8090</w:t>
            </w:r>
          </w:p>
        </w:tc>
        <w:tc>
          <w:tcPr>
            <w:tcW w:type="dxa" w:w="411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Listen address</w:t>
            </w:r>
          </w:p>
        </w:tc>
      </w:tr>
      <w:tr>
        <w:trPr>
          <w:cantSplit/>
        </w:trPr>
        <w:tc>
          <w:tcPr>
            <w:tcW w:type="dxa" w:w="28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rFonts w:ascii="Consolas" w:cs="Consolas" w:eastAsia="Consolas" w:hAnsi="Consolas"/>
                <w:color w:val="1A1A1A"/>
                <w:sz w:val="18"/>
                <w:szCs w:val="18"/>
              </w:rPr>
              <w:t xml:space="preserve">-key</w:t>
            </w:r>
          </w:p>
        </w:tc>
        <w:tc>
          <w:tcPr>
            <w:tcW w:type="dxa" w:w="243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/etc/issuer/key/issuer.key</w:t>
            </w:r>
          </w:p>
        </w:tc>
        <w:tc>
          <w:tcPr>
            <w:tcW w:type="dxa" w:w="411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Issuer key file; must be mode 0600</w:t>
            </w:r>
          </w:p>
        </w:tc>
      </w:tr>
      <w:tr>
        <w:trPr>
          <w:cantSplit/>
        </w:trPr>
        <w:tc>
          <w:tcPr>
            <w:tcW w:type="dxa" w:w="28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rFonts w:ascii="Consolas" w:cs="Consolas" w:eastAsia="Consolas" w:hAnsi="Consolas"/>
                <w:color w:val="1A1A1A"/>
                <w:sz w:val="18"/>
                <w:szCs w:val="18"/>
              </w:rPr>
              <w:t xml:space="preserve">-agent</w:t>
            </w:r>
          </w:p>
        </w:tc>
        <w:tc>
          <w:tcPr>
            <w:tcW w:type="dxa" w:w="243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http://optimusdb1:8089</w:t>
            </w:r>
          </w:p>
        </w:tc>
        <w:tc>
          <w:tcPr>
            <w:tcW w:type="dxa" w:w="411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OptimusDB agent base URL</w:t>
            </w:r>
          </w:p>
        </w:tc>
      </w:tr>
      <w:tr>
        <w:trPr>
          <w:cantSplit/>
        </w:trPr>
        <w:tc>
          <w:tcPr>
            <w:tcW w:type="dxa" w:w="28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rFonts w:ascii="Consolas" w:cs="Consolas" w:eastAsia="Consolas" w:hAnsi="Consolas"/>
                <w:color w:val="1A1A1A"/>
                <w:sz w:val="18"/>
                <w:szCs w:val="18"/>
              </w:rPr>
              <w:t xml:space="preserve">-agent-context</w:t>
            </w:r>
          </w:p>
        </w:tc>
        <w:tc>
          <w:tcPr>
            <w:tcW w:type="dxa" w:w="243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swarmkb</w:t>
            </w:r>
          </w:p>
        </w:tc>
        <w:tc>
          <w:tcPr>
            <w:tcW w:type="dxa" w:w="411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Agent API context</w:t>
            </w:r>
          </w:p>
        </w:tc>
      </w:tr>
      <w:tr>
        <w:trPr>
          <w:cantSplit/>
        </w:trPr>
        <w:tc>
          <w:tcPr>
            <w:tcW w:type="dxa" w:w="28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rFonts w:ascii="Consolas" w:cs="Consolas" w:eastAsia="Consolas" w:hAnsi="Consolas"/>
                <w:color w:val="1A1A1A"/>
                <w:sz w:val="18"/>
                <w:szCs w:val="18"/>
              </w:rPr>
              <w:t xml:space="preserve">-oidc-issuer</w:t>
            </w:r>
          </w:p>
        </w:tc>
        <w:tc>
          <w:tcPr>
            <w:tcW w:type="dxa" w:w="243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(empty)</w:t>
            </w:r>
          </w:p>
        </w:tc>
        <w:tc>
          <w:tcPr>
            <w:tcW w:type="dxa" w:w="411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Keycloak realm URL; empty disables operator authentication</w:t>
            </w:r>
          </w:p>
        </w:tc>
      </w:tr>
      <w:tr>
        <w:trPr>
          <w:cantSplit/>
        </w:trPr>
        <w:tc>
          <w:tcPr>
            <w:tcW w:type="dxa" w:w="28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rFonts w:ascii="Consolas" w:cs="Consolas" w:eastAsia="Consolas" w:hAnsi="Consolas"/>
                <w:color w:val="1A1A1A"/>
                <w:sz w:val="18"/>
                <w:szCs w:val="18"/>
              </w:rPr>
              <w:t xml:space="preserve">-oidc-audience</w:t>
            </w:r>
          </w:p>
        </w:tc>
        <w:tc>
          <w:tcPr>
            <w:tcW w:type="dxa" w:w="243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optimusissuer</w:t>
            </w:r>
          </w:p>
        </w:tc>
        <w:tc>
          <w:tcPr>
            <w:tcW w:type="dxa" w:w="411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Expected audience claim</w:t>
            </w:r>
          </w:p>
        </w:tc>
      </w:tr>
      <w:tr>
        <w:trPr>
          <w:cantSplit/>
        </w:trPr>
        <w:tc>
          <w:tcPr>
            <w:tcW w:type="dxa" w:w="28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rFonts w:ascii="Consolas" w:cs="Consolas" w:eastAsia="Consolas" w:hAnsi="Consolas"/>
                <w:color w:val="1A1A1A"/>
                <w:sz w:val="18"/>
                <w:szCs w:val="18"/>
              </w:rPr>
              <w:t xml:space="preserve">-max-validity-days</w:t>
            </w:r>
          </w:p>
        </w:tc>
        <w:tc>
          <w:tcPr>
            <w:tcW w:type="dxa" w:w="243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365</w:t>
            </w:r>
          </w:p>
        </w:tc>
        <w:tc>
          <w:tcPr>
            <w:tcW w:type="dxa" w:w="411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Longest credential this issuer will sign</w:t>
            </w:r>
          </w:p>
        </w:tc>
      </w:tr>
      <w:tr>
        <w:trPr>
          <w:cantSplit/>
        </w:trPr>
        <w:tc>
          <w:tcPr>
            <w:tcW w:type="dxa" w:w="28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rFonts w:ascii="Consolas" w:cs="Consolas" w:eastAsia="Consolas" w:hAnsi="Consolas"/>
                <w:color w:val="1A1A1A"/>
                <w:sz w:val="18"/>
                <w:szCs w:val="18"/>
              </w:rPr>
              <w:t xml:space="preserve">-default-validity-days</w:t>
            </w:r>
          </w:p>
        </w:tc>
        <w:tc>
          <w:tcPr>
            <w:tcW w:type="dxa" w:w="243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90</w:t>
            </w:r>
          </w:p>
        </w:tc>
        <w:tc>
          <w:tcPr>
            <w:tcW w:type="dxa" w:w="411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Applied when a request names none</w:t>
            </w:r>
          </w:p>
        </w:tc>
      </w:tr>
      <w:tr>
        <w:trPr>
          <w:cantSplit/>
        </w:trPr>
        <w:tc>
          <w:tcPr>
            <w:tcW w:type="dxa" w:w="28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rFonts w:ascii="Consolas" w:cs="Consolas" w:eastAsia="Consolas" w:hAnsi="Consolas"/>
                <w:color w:val="1A1A1A"/>
                <w:sz w:val="18"/>
                <w:szCs w:val="18"/>
              </w:rPr>
              <w:t xml:space="preserve">-require-second-approval</w:t>
            </w:r>
          </w:p>
        </w:tc>
        <w:tc>
          <w:tcPr>
            <w:tcW w:type="dxa" w:w="243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true</w:t>
            </w:r>
          </w:p>
        </w:tc>
        <w:tc>
          <w:tcPr>
            <w:tcW w:type="dxa" w:w="411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Two operators for any wildcard capability</w:t>
            </w:r>
          </w:p>
        </w:tc>
      </w:tr>
      <w:tr>
        <w:trPr>
          <w:cantSplit/>
        </w:trPr>
        <w:tc>
          <w:tcPr>
            <w:tcW w:type="dxa" w:w="28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rFonts w:ascii="Consolas" w:cs="Consolas" w:eastAsia="Consolas" w:hAnsi="Consolas"/>
                <w:color w:val="1A1A1A"/>
                <w:sz w:val="18"/>
                <w:szCs w:val="18"/>
              </w:rPr>
              <w:t xml:space="preserve">-allowed-actions</w:t>
            </w:r>
          </w:p>
        </w:tc>
        <w:tc>
          <w:tcPr>
            <w:tcW w:type="dxa" w:w="243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(empty)</w:t>
            </w:r>
          </w:p>
        </w:tc>
        <w:tc>
          <w:tcPr>
            <w:tcW w:type="dxa" w:w="411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Allow-list bounding what may be granted</w:t>
            </w:r>
          </w:p>
        </w:tc>
      </w:tr>
      <w:tr>
        <w:trPr>
          <w:cantSplit/>
        </w:trPr>
        <w:tc>
          <w:tcPr>
            <w:tcW w:type="dxa" w:w="28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rFonts w:ascii="Consolas" w:cs="Consolas" w:eastAsia="Consolas" w:hAnsi="Consolas"/>
                <w:color w:val="1A1A1A"/>
                <w:sz w:val="18"/>
                <w:szCs w:val="18"/>
              </w:rPr>
              <w:t xml:space="preserve">-cors-origins</w:t>
            </w:r>
          </w:p>
        </w:tc>
        <w:tc>
          <w:tcPr>
            <w:tcW w:type="dxa" w:w="243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(empty)</w:t>
            </w:r>
          </w:p>
        </w:tc>
        <w:tc>
          <w:tcPr>
            <w:tcW w:type="dxa" w:w="411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For a separately hosted interface</w:t>
            </w:r>
          </w:p>
        </w:tc>
      </w:tr>
    </w:tbl>
    <w:p>
      <w:pPr>
        <w:spacing w:after="140" w:line="276"/>
      </w:pPr>
      <w:r>
        <w:rPr>
          <w:color w:val="1A1A1A"/>
          <w:sz w:val="21"/>
          <w:szCs w:val="21"/>
        </w:rPr>
        <w:t xml:space="preserve"/>
      </w:r>
    </w:p>
    <w:p>
      <w:pPr>
        <w:pStyle w:val="Heading1"/>
        <w:spacing w:after="200" w:before="400"/>
      </w:pPr>
      <w:r>
        <w:rPr>
          <w:b/>
          <w:bCs/>
          <w:color w:val="1A1A1A"/>
          <w:sz w:val="34"/>
          <w:szCs w:val="34"/>
        </w:rPr>
        <w:t xml:space="preserve">Appendix B  Store records</w:t>
      </w:r>
    </w:p>
    <w:p>
      <w:pPr>
        <w:pStyle w:val="Heading3"/>
        <w:spacing w:after="110" w:before="240"/>
      </w:pPr>
      <w:r>
        <w:rPr>
          <w:b/>
          <w:bCs/>
          <w:color w:val="1A1A1A"/>
          <w:sz w:val="22"/>
          <w:szCs w:val="22"/>
        </w:rPr>
        <w:t xml:space="preserve">Trusted issuer, in kbtrust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"_id": "did:key:z6MkhaXg...",</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"record_type": "trusted_issuer",</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"name": "ICCS Root Issuer (offline)",</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"may_issue": ["OptimusDBCapability"],</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"max_delegation_depth": 2,</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"status": "active",</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"added_at": "2026-09-17T09:00:00Z",</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"added_by": "genesis"</w:t>
            </w:r>
          </w:p>
        </w:tc>
      </w:tr>
      <w:tr>
        <w:trPr>
          <w:cantSplit/>
        </w:trPr>
        <w:tc>
          <w:tcPr>
            <w:tcW w:type="dxa" w:w="9360"/>
            <w:tcBorders>
              <w:top w:val="none" w:color="auto" w:sz="0"/>
              <w:left w:val="single" w:color="BFBFBF" w:sz="4"/>
              <w:bottom w:val="single" w:color="BFBFBF" w:sz="4"/>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w:t>
            </w:r>
          </w:p>
        </w:tc>
      </w:tr>
    </w:tbl>
    <w:p>
      <w:pPr>
        <w:spacing w:after="120" w:line="276"/>
      </w:pPr>
      <w:r>
        <w:rPr>
          <w:color w:val="1A1A1A"/>
          <w:sz w:val="21"/>
          <w:szCs w:val="21"/>
        </w:rPr>
        <w:t xml:space="preserve"/>
      </w:r>
    </w:p>
    <w:p>
      <w:pPr>
        <w:pStyle w:val="Heading3"/>
        <w:spacing w:after="110" w:before="240"/>
      </w:pPr>
      <w:r>
        <w:rPr>
          <w:b/>
          <w:bCs/>
          <w:color w:val="1A1A1A"/>
          <w:sz w:val="22"/>
          <w:szCs w:val="22"/>
        </w:rPr>
        <w:t xml:space="preserve">Credential request, in kbissuance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"_id": "req-4f2b9c1e",</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"record_type": "credential_request",</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"subject_did": "did:key:z6MkfMyApp...",</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"name": "Attica Solar Ingest",</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"requested_capabilities": [ ...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"status": "pending",</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"requested_at": "2026-09-17T09:02:00Z"</w:t>
            </w:r>
          </w:p>
        </w:tc>
      </w:tr>
      <w:tr>
        <w:trPr>
          <w:cantSplit/>
        </w:trPr>
        <w:tc>
          <w:tcPr>
            <w:tcW w:type="dxa" w:w="9360"/>
            <w:tcBorders>
              <w:top w:val="none" w:color="auto" w:sz="0"/>
              <w:left w:val="single" w:color="BFBFBF" w:sz="4"/>
              <w:bottom w:val="single" w:color="BFBFBF" w:sz="4"/>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w:t>
            </w:r>
          </w:p>
        </w:tc>
      </w:tr>
    </w:tbl>
    <w:p>
      <w:pPr>
        <w:spacing w:after="120" w:line="276"/>
      </w:pPr>
      <w:r>
        <w:rPr>
          <w:color w:val="1A1A1A"/>
          <w:sz w:val="21"/>
          <w:szCs w:val="21"/>
        </w:rPr>
        <w:t xml:space="preserve"/>
      </w:r>
    </w:p>
    <w:p>
      <w:pPr>
        <w:pStyle w:val="Heading3"/>
        <w:spacing w:after="110" w:before="240"/>
      </w:pPr>
      <w:r>
        <w:rPr>
          <w:b/>
          <w:bCs/>
          <w:color w:val="1A1A1A"/>
          <w:sz w:val="22"/>
          <w:szCs w:val="22"/>
        </w:rPr>
        <w:t xml:space="preserve">Issuance record, in kbissuance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"_id": "urn:uuid:vc-7d3f2a91c4e80b65",</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"record_type": "issued_credential",</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"subject_did": "did:key:z6MkfMyApp...",</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"subject_name": "Attica Solar Ingest",</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"issuer": "did:key:z6MkhaXg...",</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"capabilities": [ ... ],</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"issued_at": "2026-09-17T09:05:00Z",</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"expires_at": "2026-12-16T09:05:00Z",</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"status": "active",</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"issued_by": "george"</w:t>
            </w:r>
          </w:p>
        </w:tc>
      </w:tr>
      <w:tr>
        <w:trPr>
          <w:cantSplit/>
        </w:trPr>
        <w:tc>
          <w:tcPr>
            <w:tcW w:type="dxa" w:w="9360"/>
            <w:tcBorders>
              <w:top w:val="none" w:color="auto" w:sz="0"/>
              <w:left w:val="single" w:color="BFBFBF" w:sz="4"/>
              <w:bottom w:val="single" w:color="BFBFBF" w:sz="4"/>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w:t>
            </w:r>
          </w:p>
        </w:tc>
      </w:tr>
    </w:tbl>
    <w:p>
      <w:pPr>
        <w:spacing w:after="120" w:line="276"/>
      </w:pPr>
      <w:r>
        <w:rPr>
          <w:color w:val="1A1A1A"/>
          <w:sz w:val="21"/>
          <w:szCs w:val="21"/>
        </w:rPr>
        <w:t xml:space="preserve"/>
      </w:r>
    </w:p>
    <w:p>
      <w:pPr>
        <w:pStyle w:val="Heading3"/>
        <w:spacing w:after="110" w:before="240"/>
      </w:pPr>
      <w:r>
        <w:rPr>
          <w:b/>
          <w:bCs/>
          <w:color w:val="1A1A1A"/>
          <w:sz w:val="22"/>
          <w:szCs w:val="22"/>
        </w:rPr>
        <w:t xml:space="preserve">Revocation, in kbtrust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"_id": "revocation:urn:uuid:vc-7d3f2a91c4e80b65",</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"record_type": "revocation",</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"credential_id": "urn:uuid:vc-7d3f2a91c4e80b65",</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"revoked_by": "did:key:z6MkhaXg...",</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"reason": "application decommissioned",</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"revoked_at": "2026-10-02T09:14:00Z"</w:t>
            </w:r>
          </w:p>
        </w:tc>
      </w:tr>
      <w:tr>
        <w:trPr>
          <w:cantSplit/>
        </w:trPr>
        <w:tc>
          <w:tcPr>
            <w:tcW w:type="dxa" w:w="9360"/>
            <w:tcBorders>
              <w:top w:val="none" w:color="auto" w:sz="0"/>
              <w:left w:val="single" w:color="BFBFBF" w:sz="4"/>
              <w:bottom w:val="single" w:color="BFBFBF" w:sz="4"/>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w:t>
            </w:r>
          </w:p>
        </w:tc>
      </w:tr>
    </w:tbl>
    <w:p>
      <w:pPr>
        <w:spacing w:after="120" w:line="276"/>
      </w:pPr>
      <w:r>
        <w:rPr>
          <w:color w:val="1A1A1A"/>
          <w:sz w:val="21"/>
          <w:szCs w:val="21"/>
        </w:rPr>
        <w:t xml:space="preserve"/>
      </w:r>
    </w:p>
    <w:p>
      <w:pPr>
        <w:pStyle w:val="Heading1"/>
        <w:spacing w:after="200" w:before="400"/>
      </w:pPr>
      <w:r>
        <w:rPr>
          <w:b/>
          <w:bCs/>
          <w:color w:val="1A1A1A"/>
          <w:sz w:val="34"/>
          <w:szCs w:val="34"/>
        </w:rPr>
        <w:t xml:space="preserve">Appendix C  issuerctl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6"/>
        <w:gridCol w:w="5054"/>
      </w:tblGrid>
      <w:tr>
        <w:trPr>
          <w:tblHeader/>
        </w:trPr>
        <w:tc>
          <w:tcPr>
            <w:tcW w:type="dxa" w:w="430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Command</w:t>
            </w:r>
          </w:p>
        </w:tc>
        <w:tc>
          <w:tcPr>
            <w:tcW w:type="dxa" w:w="505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Purpose</w:t>
            </w:r>
          </w:p>
        </w:tc>
      </w:tr>
      <w:tr>
        <w:trPr>
          <w:cantSplit/>
        </w:trPr>
        <w:tc>
          <w:tcPr>
            <w:tcW w:type="dxa" w:w="43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rFonts w:ascii="Consolas" w:cs="Consolas" w:eastAsia="Consolas" w:hAnsi="Consolas"/>
                <w:color w:val="1A1A1A"/>
                <w:sz w:val="18"/>
                <w:szCs w:val="18"/>
              </w:rPr>
              <w:t xml:space="preserve">keygen --out FILE [--label TEXT]</w:t>
            </w:r>
          </w:p>
        </w:tc>
        <w:tc>
          <w:tcPr>
            <w:tcW w:type="dxa" w:w="505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Create a key pair and print its DID</w:t>
            </w:r>
          </w:p>
        </w:tc>
      </w:tr>
      <w:tr>
        <w:trPr>
          <w:cantSplit/>
        </w:trPr>
        <w:tc>
          <w:tcPr>
            <w:tcW w:type="dxa" w:w="43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rFonts w:ascii="Consolas" w:cs="Consolas" w:eastAsia="Consolas" w:hAnsi="Consolas"/>
                <w:color w:val="1A1A1A"/>
                <w:sz w:val="18"/>
                <w:szCs w:val="18"/>
              </w:rPr>
              <w:t xml:space="preserve">inspect --key FILE</w:t>
            </w:r>
          </w:p>
        </w:tc>
        <w:tc>
          <w:tcPr>
            <w:tcW w:type="dxa" w:w="505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Show a key's DID without exposing the key</w:t>
            </w:r>
          </w:p>
        </w:tc>
      </w:tr>
      <w:tr>
        <w:trPr>
          <w:cantSplit/>
        </w:trPr>
        <w:tc>
          <w:tcPr>
            <w:tcW w:type="dxa" w:w="43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rFonts w:ascii="Consolas" w:cs="Consolas" w:eastAsia="Consolas" w:hAnsi="Consolas"/>
                <w:color w:val="1A1A1A"/>
                <w:sz w:val="18"/>
                <w:szCs w:val="18"/>
              </w:rPr>
              <w:t xml:space="preserve">issue --key FILE --subject DID --capability A:S --days N --out FILE</w:t>
            </w:r>
          </w:p>
        </w:tc>
        <w:tc>
          <w:tcPr>
            <w:tcW w:type="dxa" w:w="505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Sign a credential offline</w:t>
            </w:r>
          </w:p>
        </w:tc>
      </w:tr>
      <w:tr>
        <w:trPr>
          <w:cantSplit/>
        </w:trPr>
        <w:tc>
          <w:tcPr>
            <w:tcW w:type="dxa" w:w="43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rFonts w:ascii="Consolas" w:cs="Consolas" w:eastAsia="Consolas" w:hAnsi="Consolas"/>
                <w:color w:val="1A1A1A"/>
                <w:sz w:val="18"/>
                <w:szCs w:val="18"/>
              </w:rPr>
              <w:t xml:space="preserve">verify --credential FILE</w:t>
            </w:r>
          </w:p>
        </w:tc>
        <w:tc>
          <w:tcPr>
            <w:tcW w:type="dxa" w:w="505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Verify a credential with no network</w:t>
            </w:r>
          </w:p>
        </w:tc>
      </w:tr>
      <w:tr>
        <w:trPr>
          <w:cantSplit/>
        </w:trPr>
        <w:tc>
          <w:tcPr>
            <w:tcW w:type="dxa" w:w="43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rFonts w:ascii="Consolas" w:cs="Consolas" w:eastAsia="Consolas" w:hAnsi="Consolas"/>
                <w:color w:val="1A1A1A"/>
                <w:sz w:val="18"/>
                <w:szCs w:val="18"/>
              </w:rPr>
              <w:t xml:space="preserve">genesis --key FILE [--key FILE] --out FILE</w:t>
            </w:r>
          </w:p>
        </w:tc>
        <w:tc>
          <w:tcPr>
            <w:tcW w:type="dxa" w:w="505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Produce the genesis trusted issuer list</w:t>
            </w:r>
          </w:p>
        </w:tc>
      </w:tr>
      <w:tr>
        <w:trPr>
          <w:cantSplit/>
        </w:trPr>
        <w:tc>
          <w:tcPr>
            <w:tcW w:type="dxa" w:w="43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rFonts w:ascii="Consolas" w:cs="Consolas" w:eastAsia="Consolas" w:hAnsi="Consolas"/>
                <w:color w:val="1A1A1A"/>
                <w:sz w:val="18"/>
                <w:szCs w:val="18"/>
              </w:rPr>
              <w:t xml:space="preserve">revoke --key FILE --credential ID --reason TEXT</w:t>
            </w:r>
          </w:p>
        </w:tc>
        <w:tc>
          <w:tcPr>
            <w:tcW w:type="dxa" w:w="505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Emit a revocation record for manual writing</w:t>
            </w:r>
          </w:p>
        </w:tc>
      </w:tr>
    </w:tbl>
    <w:p>
      <w:pPr>
        <w:spacing w:after="140" w:line="276"/>
      </w:pPr>
      <w:r>
        <w:rPr>
          <w:color w:val="1A1A1A"/>
          <w:sz w:val="21"/>
          <w:szCs w:val="21"/>
        </w:rPr>
        <w:t xml:space="preserve"/>
      </w:r>
    </w:p>
    <w:p>
      <w:pPr>
        <w:spacing w:after="140" w:line="276"/>
      </w:pPr>
      <w:r>
        <w:rPr>
          <w:color w:val="1A1A1A"/>
          <w:sz w:val="21"/>
          <w:szCs w:val="21"/>
        </w:rPr>
        <w:t xml:space="preserve">None of these commands contacts a network. They exist so that the ceremony, and emergency signing while the service is unavailable or compromised, can be performed entirely offline.</w:t>
      </w:r>
    </w:p>
    <w:p>
      <w:pPr>
        <w:pStyle w:val="Heading1"/>
        <w:spacing w:after="200" w:before="400"/>
      </w:pPr>
      <w:r>
        <w:rPr>
          <w:b/>
          <w:bCs/>
          <w:color w:val="1A1A1A"/>
          <w:sz w:val="34"/>
          <w:szCs w:val="34"/>
        </w:rPr>
        <w:t xml:space="preserve">Appendix D  Repository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optimusIssuer/</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cmd/</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 issuerd/main.go          the service</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 issuerctl/main.go        offline tool</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internal/</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 did/didkey.go            did:key encode and decode</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 canonical/jcs.go         RFC 8785 and SHA-256</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 credential/              types, sign, verify, tests</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 keys/keys.go             key loading and permission checks</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 store/client.go          OptimusDB command API client</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 auth/oidc.go             Keycloak token verification</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 audit/audit.go           audit ring</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 api/                     service logic and router</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web/                         React single-page application</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 src/pages/               Requests, Issue, Credentials, Trust, Audit</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 src/components/          CapabilityEditor</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deploy/                      namespace, deployment, ingress, policy</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Dockerfile                   three stages, static output</w:t>
            </w:r>
          </w:p>
        </w:tc>
      </w:tr>
      <w:tr>
        <w:trPr>
          <w:cantSplit/>
        </w:trPr>
        <w:tc>
          <w:tcPr>
            <w:tcW w:type="dxa" w:w="9360"/>
            <w:tcBorders>
              <w:top w:val="none" w:color="auto" w:sz="0"/>
              <w:left w:val="single" w:color="BFBFBF" w:sz="4"/>
              <w:bottom w:val="none" w:color="auto" w:sz="0"/>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Makefile</w:t>
            </w:r>
          </w:p>
        </w:tc>
      </w:tr>
      <w:tr>
        <w:trPr>
          <w:cantSplit/>
        </w:trPr>
        <w:tc>
          <w:tcPr>
            <w:tcW w:type="dxa" w:w="9360"/>
            <w:tcBorders>
              <w:top w:val="none" w:color="auto" w:sz="0"/>
              <w:left w:val="single" w:color="BFBFBF" w:sz="4"/>
              <w:bottom w:val="single" w:color="BFBFBF" w:sz="4"/>
              <w:right w:val="single" w:color="BFBFBF" w:sz="4"/>
            </w:tcBorders>
            <w:shd w:fill="F5F5F5" w:color="auto" w:val="clear"/>
            <w:tcMar>
              <w:top w:type="dxa" w:w="20"/>
              <w:left w:type="dxa" w:w="120"/>
              <w:bottom w:type="dxa" w:w="20"/>
              <w:right w:type="dxa" w:w="120"/>
            </w:tcMar>
          </w:tcPr>
          <w:p>
            <w:pPr>
              <w:spacing w:after="0" w:line="240"/>
            </w:pPr>
            <w:r>
              <w:rPr>
                <w:rFonts w:ascii="Consolas" w:cs="Consolas" w:eastAsia="Consolas" w:hAnsi="Consolas"/>
                <w:color w:val="1A1A1A"/>
                <w:sz w:val="17"/>
                <w:szCs w:val="17"/>
              </w:rPr>
              <w:t xml:space="preserve">└── README.md</w:t>
            </w:r>
          </w:p>
        </w:tc>
      </w:tr>
    </w:tbl>
    <w:p>
      <w:pPr>
        <w:spacing w:after="120" w:line="276"/>
      </w:pPr>
      <w:r>
        <w:rPr>
          <w:color w:val="1A1A1A"/>
          <w:sz w:val="21"/>
          <w:szCs w:val="21"/>
        </w:rPr>
        <w:t xml:space="preserve"/>
      </w:r>
    </w:p>
    <w:p>
      <w:pPr>
        <w:pStyle w:val="Heading1"/>
        <w:spacing w:after="200" w:before="400"/>
      </w:pPr>
      <w:r>
        <w:rPr>
          <w:b/>
          <w:bCs/>
          <w:color w:val="1A1A1A"/>
          <w:sz w:val="34"/>
          <w:szCs w:val="34"/>
        </w:rPr>
        <w:t xml:space="preserve">Appendix E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Term</w:t>
            </w:r>
          </w:p>
        </w:tc>
        <w:tc>
          <w:tcPr>
            <w:tcW w:type="dxa" w:w="711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b/>
                <w:bCs/>
                <w:color w:val="1A1A1A"/>
                <w:sz w:val="18"/>
                <w:szCs w:val="18"/>
              </w:rPr>
              <w:t xml:space="preserve">Meaning</w:t>
            </w:r>
          </w:p>
        </w:tc>
      </w:tr>
      <w:tr>
        <w:trPr>
          <w:cantSplit/>
        </w:trPr>
        <w:tc>
          <w:tcPr>
            <w:tcW w:type="dxa" w:w="2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Capability</w:t>
            </w:r>
          </w:p>
        </w:tc>
        <w:tc>
          <w:tcPr>
            <w:tcW w:type="dxa" w:w="711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An action and store pair carried in a credential</w:t>
            </w:r>
          </w:p>
        </w:tc>
      </w:tr>
      <w:tr>
        <w:trPr>
          <w:cantSplit/>
        </w:trPr>
        <w:tc>
          <w:tcPr>
            <w:tcW w:type="dxa" w:w="2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Credential</w:t>
            </w:r>
          </w:p>
        </w:tc>
        <w:tc>
          <w:tcPr>
            <w:tcW w:type="dxa" w:w="711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A W3C Verifiable Credential: signed claims about a subject</w:t>
            </w:r>
          </w:p>
        </w:tc>
      </w:tr>
      <w:tr>
        <w:trPr>
          <w:cantSplit/>
        </w:trPr>
        <w:tc>
          <w:tcPr>
            <w:tcW w:type="dxa" w:w="2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did:key</w:t>
            </w:r>
          </w:p>
        </w:tc>
        <w:tc>
          <w:tcPr>
            <w:tcW w:type="dxa" w:w="711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A DID method where the identifier encodes the public key, so resolution needs no network</w:t>
            </w:r>
          </w:p>
        </w:tc>
      </w:tr>
      <w:tr>
        <w:trPr>
          <w:cantSplit/>
        </w:trPr>
        <w:tc>
          <w:tcPr>
            <w:tcW w:type="dxa" w:w="2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Genesis list</w:t>
            </w:r>
          </w:p>
        </w:tc>
        <w:tc>
          <w:tcPr>
            <w:tcW w:type="dxa" w:w="711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The initial set of trusted issuers, supplied as a ConfigMap</w:t>
            </w:r>
          </w:p>
        </w:tc>
      </w:tr>
      <w:tr>
        <w:trPr>
          <w:cantSplit/>
        </w:trPr>
        <w:tc>
          <w:tcPr>
            <w:tcW w:type="dxa" w:w="2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Holder</w:t>
            </w:r>
          </w:p>
        </w:tc>
        <w:tc>
          <w:tcPr>
            <w:tcW w:type="dxa" w:w="711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The party presenting a credential and proving possession of the subject key</w:t>
            </w:r>
          </w:p>
        </w:tc>
      </w:tr>
      <w:tr>
        <w:trPr>
          <w:cantSplit/>
        </w:trPr>
        <w:tc>
          <w:tcPr>
            <w:tcW w:type="dxa" w:w="2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Issuer</w:t>
            </w:r>
          </w:p>
        </w:tc>
        <w:tc>
          <w:tcPr>
            <w:tcW w:type="dxa" w:w="711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The party whose signature appears in a credential's proof</w:t>
            </w:r>
          </w:p>
        </w:tc>
      </w:tr>
      <w:tr>
        <w:trPr>
          <w:cantSplit/>
        </w:trPr>
        <w:tc>
          <w:tcPr>
            <w:tcW w:type="dxa" w:w="2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JCS</w:t>
            </w:r>
          </w:p>
        </w:tc>
        <w:tc>
          <w:tcPr>
            <w:tcW w:type="dxa" w:w="711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JSON Canonicalization Scheme, RFC 8785</w:t>
            </w:r>
          </w:p>
        </w:tc>
      </w:tr>
      <w:tr>
        <w:trPr>
          <w:cantSplit/>
        </w:trPr>
        <w:tc>
          <w:tcPr>
            <w:tcW w:type="dxa" w:w="2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Root issuer</w:t>
            </w:r>
          </w:p>
        </w:tc>
        <w:tc>
          <w:tcPr>
            <w:tcW w:type="dxa" w:w="711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The offline key that authorises the service issuer and can withdraw it</w:t>
            </w:r>
          </w:p>
        </w:tc>
      </w:tr>
      <w:tr>
        <w:trPr>
          <w:cantSplit/>
        </w:trPr>
        <w:tc>
          <w:tcPr>
            <w:tcW w:type="dxa" w:w="2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Service issuer</w:t>
            </w:r>
          </w:p>
        </w:tc>
        <w:tc>
          <w:tcPr>
            <w:tcW w:type="dxa" w:w="711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The key held by optimusIssuer for day-to-day signing</w:t>
            </w:r>
          </w:p>
        </w:tc>
      </w:tr>
      <w:tr>
        <w:trPr>
          <w:cantSplit/>
        </w:trPr>
        <w:tc>
          <w:tcPr>
            <w:tcW w:type="dxa" w:w="2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Trust list</w:t>
            </w:r>
          </w:p>
        </w:tc>
        <w:tc>
          <w:tcPr>
            <w:tcW w:type="dxa" w:w="7114"/>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0"/>
            </w:pPr>
            <w:r>
              <w:rPr>
                <w:color w:val="1A1A1A"/>
                <w:sz w:val="18"/>
                <w:szCs w:val="18"/>
              </w:rPr>
              <w:t xml:space="preserve">The set of accepted issuer DIDs, held in kbtrust</w:t>
            </w:r>
          </w:p>
        </w:tc>
      </w:tr>
    </w:tbl>
    <w:p>
      <w:pPr>
        <w:spacing w:after="140" w:line="276"/>
      </w:pPr>
      <w:r>
        <w:rPr>
          <w:color w:val="1A1A1A"/>
          <w:sz w:val="21"/>
          <w:szCs w:val="21"/>
        </w:rP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right"/>
    </w:pPr>
    <w:r>
      <w:rPr>
        <w:color w:val="595959"/>
        <w:sz w:val="16"/>
        <w:szCs w:val="16"/>
      </w:rPr>
      <w:t xml:space="preserve">Swarmchestrate · Grant 101135012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spacing w:after="200"/>
    </w:pPr>
    <w:r>
      <w:rPr>
        <w:color w:val="595959"/>
        <w:sz w:val="16"/>
        <w:szCs w:val="16"/>
      </w:rPr>
      <w:t xml:space="preserve">optimusIssuer — Design, Security and Operations  ·  v1.0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start"/>
      <w:pPr>
        <w:ind w:left="44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1A1A"/>
      <w:sz w:val="34"/>
      <w:szCs w:val="34"/>
    </w:rPr>
  </w:style>
  <w:style w:type="paragraph" w:styleId="Heading2">
    <w:name w:val="Heading 2"/>
    <w:basedOn w:val="Normal"/>
    <w:next w:val="Normal"/>
    <w:qFormat/>
    <w:rPr>
      <w:rFonts w:ascii="Calibri" w:cs="Calibri" w:eastAsia="Calibri" w:hAnsi="Calibri"/>
      <w:b/>
      <w:bCs/>
      <w:color w:val="1A1A1A"/>
      <w:sz w:val="26"/>
      <w:szCs w:val="26"/>
    </w:rPr>
  </w:style>
  <w:style w:type="paragraph" w:styleId="Heading3">
    <w:name w:val="Heading 3"/>
    <w:basedOn w:val="Normal"/>
    <w:next w:val="Normal"/>
    <w:qFormat/>
    <w:rPr>
      <w:rFonts w:ascii="Calibri" w:cs="Calibri" w:eastAsia="Calibri" w:hAnsi="Calibri"/>
      <w:b/>
      <w:bCs/>
      <w:color w:val="1A1A1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540182f42ae7640f91a954aedc3d1198f37e917.png"/><Relationship Id="rId10" Type="http://schemas.openxmlformats.org/officeDocument/2006/relationships/image" Target="media/2baa132ad310c018e637f3446b8f0e38dada41cc.png"/><Relationship Id="rId11" Type="http://schemas.openxmlformats.org/officeDocument/2006/relationships/image" Target="media/a6e6c39f2345121592a4aef4972c2c42d32cedfe.png"/><Relationship Id="rId12" Type="http://schemas.openxmlformats.org/officeDocument/2006/relationships/image" Target="media/74166ff51367431b7b65f29531c44d085c2b39a9.png"/><Relationship Id="rId13" Type="http://schemas.openxmlformats.org/officeDocument/2006/relationships/image" Target="media/95e4ba906c82ac8ccbf9c8299b688f53cd825dde.png"/><Relationship Id="rId14" Type="http://schemas.openxmlformats.org/officeDocument/2006/relationships/image" Target="media/dff10414e6d1cd06ab728eda300475d208b6216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optimusIssuer — Design, Security and Operations</dc:title>
  <dc:creator>ICCS — Swarmchestrate</dc:creator>
  <dc:description>Version 1.0</dc:description>
  <cp:lastModifiedBy>Un-named</cp:lastModifiedBy>
  <cp:revision>1</cp:revision>
  <dcterms:created xsi:type="dcterms:W3CDTF">2026-09-19T15:07:58.483Z</dcterms:created>
  <dcterms:modified xsi:type="dcterms:W3CDTF">2026-09-19T15:07:58.492Z</dcterms:modified>
</cp:coreProperties>
</file>

<file path=docProps/custom.xml><?xml version="1.0" encoding="utf-8"?>
<Properties xmlns="http://schemas.openxmlformats.org/officeDocument/2006/custom-properties" xmlns:vt="http://schemas.openxmlformats.org/officeDocument/2006/docPropsVTypes"/>
</file>