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Midfielder Salary Estimation</w:t>
      </w:r>
    </w:p>
    <w:p>
      <w:pPr>
        <w:jc w:val="center"/>
      </w:pPr>
      <w:r>
        <w:rPr>
          <w:color w:val="2E74B5"/>
          <w:sz w:val="28"/>
        </w:rPr>
        <w:t>Using Baseline Random Forest Model</w:t>
      </w:r>
    </w:p>
    <w:p>
      <w:pPr>
        <w:jc w:val="center"/>
      </w:pPr>
      <w:r>
        <w:rPr>
          <w:sz w:val="22"/>
        </w:rPr>
        <w:t>Report Date: April 16, 2026</w:t>
      </w:r>
    </w:p>
    <w:p>
      <w:r>
        <w:br w:type="page"/>
      </w:r>
    </w:p>
    <w:p>
      <w:pPr>
        <w:pStyle w:val="Heading1"/>
      </w:pPr>
      <w:r>
        <w:rPr>
          <w:color w:val="1F497D"/>
        </w:rPr>
        <w:t>1. Introduction</w:t>
      </w:r>
    </w:p>
    <w:p>
      <w:r>
        <w:rPr>
          <w:b w:val="0"/>
          <w:i w:val="0"/>
        </w:rPr>
        <w:t>This report presents the results of a position-specific salary estimation model trained exclusively on midfield players (POS = 2) across three European football seasons: 2018-19, 2019-20, and 2020-21. The objective is to estimate what a midfielder's weekly gross salary should be based on their on-pitch performance, demographic characteristics, and contractual situation — and to identify players who are undervalued or overvalued relative to the market.</w:t>
      </w:r>
    </w:p>
    <w:p>
      <w:r>
        <w:rPr>
          <w:b w:val="0"/>
          <w:i w:val="0"/>
        </w:rPr>
        <w:t>The model follows a Moneyball-style logic: by comparing the model's estimated fair salary against the player's actual salary, clubs can identify market inefficiencies — midfielders who outperform their wages represent acquisition opportunities, while those who underperform their wages represent financial risks.</w:t>
      </w:r>
    </w:p>
    <w:p>
      <w:pPr>
        <w:pStyle w:val="Heading1"/>
      </w:pPr>
      <w:r>
        <w:rPr>
          <w:color w:val="1F497D"/>
        </w:rPr>
        <w:t>2. Data</w:t>
      </w:r>
    </w:p>
    <w:p>
      <w:pPr>
        <w:pStyle w:val="Heading2"/>
      </w:pPr>
      <w:r>
        <w:rPr>
          <w:color w:val="2E74B5"/>
        </w:rPr>
        <w:t>2.1 Dataset Overview</w:t>
      </w:r>
    </w:p>
    <w:p>
      <w:r>
        <w:rPr>
          <w:b w:val="0"/>
          <w:i w:val="0"/>
        </w:rPr>
        <w:t>The dataset was filtered from the full multi-league player database to include only midfielders (POS = 2). The resulting dataset contains 1,036 midfielder-season records across three seasons from five top European leagues: Premier League, La Liga, Bundesliga, Serie A, and Ligue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2E74B5" w:color="FFFFF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Season</w:t>
            </w:r>
          </w:p>
        </w:tc>
        <w:tc>
          <w:tcPr>
            <w:tcW w:type="dxa" w:w="2268"/>
            <w:shd w:fill="2E74B5" w:color="FFFFF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Records</w:t>
            </w:r>
          </w:p>
        </w:tc>
        <w:tc>
          <w:tcPr>
            <w:tcW w:type="dxa" w:w="2835"/>
            <w:shd w:fill="2E74B5" w:color="FFFFF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Role</w:t>
            </w:r>
          </w:p>
        </w:tc>
      </w:tr>
      <w:tr>
        <w:tc>
          <w:tcPr>
            <w:tcW w:type="dxa" w:w="2268"/>
            <w:shd w:fill="DEEAF1" w:val="clear"/>
          </w:tcPr>
          <w:p>
            <w:pPr>
              <w:jc w:val="center"/>
            </w:pPr>
            <w:r>
              <w:t>2018-19</w:t>
            </w:r>
          </w:p>
        </w:tc>
        <w:tc>
          <w:tcPr>
            <w:tcW w:type="dxa" w:w="2268"/>
            <w:shd w:fill="DEEAF1" w:val="clear"/>
          </w:tcPr>
          <w:p>
            <w:pPr>
              <w:jc w:val="center"/>
            </w:pPr>
            <w:r>
              <w:t>276</w:t>
            </w:r>
          </w:p>
        </w:tc>
        <w:tc>
          <w:tcPr>
            <w:tcW w:type="dxa" w:w="2835"/>
            <w:shd w:fill="DEEAF1" w:val="clear"/>
          </w:tcPr>
          <w:p>
            <w:pPr>
              <w:jc w:val="center"/>
            </w:pPr>
            <w:r>
              <w:t>Training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2019-20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356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Training</w:t>
            </w:r>
          </w:p>
        </w:tc>
      </w:tr>
      <w:tr>
        <w:tc>
          <w:tcPr>
            <w:tcW w:type="dxa" w:w="2268"/>
            <w:shd w:fill="DEEAF1" w:val="clear"/>
          </w:tcPr>
          <w:p>
            <w:pPr>
              <w:jc w:val="center"/>
            </w:pPr>
            <w:r>
              <w:t>2020-21</w:t>
            </w:r>
          </w:p>
        </w:tc>
        <w:tc>
          <w:tcPr>
            <w:tcW w:type="dxa" w:w="2268"/>
            <w:shd w:fill="DEEAF1" w:val="clear"/>
          </w:tcPr>
          <w:p>
            <w:pPr>
              <w:jc w:val="center"/>
            </w:pPr>
            <w:r>
              <w:t>404</w:t>
            </w:r>
          </w:p>
        </w:tc>
        <w:tc>
          <w:tcPr>
            <w:tcW w:type="dxa" w:w="2835"/>
            <w:shd w:fill="DEEAF1" w:val="clear"/>
          </w:tcPr>
          <w:p>
            <w:pPr>
              <w:jc w:val="center"/>
            </w:pPr>
            <w:r>
              <w:t>Test (holdout)</w:t>
            </w:r>
          </w:p>
        </w:tc>
      </w:tr>
    </w:tbl>
    <w:p/>
    <w:p>
      <w:pPr>
        <w:pStyle w:val="Heading2"/>
      </w:pPr>
      <w:r>
        <w:rPr>
          <w:color w:val="2E74B5"/>
        </w:rPr>
        <w:t>2.2 Target Variable</w:t>
      </w:r>
    </w:p>
    <w:p>
      <w:r>
        <w:rPr>
          <w:b w:val="0"/>
          <w:i w:val="0"/>
        </w:rPr>
        <w:t>The target variable is WEEKLY_GROSS — the player's weekly gross salary in GBP (£). A log-transform (log1p) was applied to the target during training to address the right-skewed distribution of footballer salaries. Predictions are converted back to raw £ values using the inverse transform (expm1) before evaluation.</w:t>
      </w:r>
    </w:p>
    <w:p>
      <w:r>
        <w:rPr>
          <w:b w:val="0"/>
          <w:i w:val="0"/>
        </w:rPr>
        <w:t>Salary distribution in the training set (2018-19 and 2019-20 combined):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2E74B5" w:color="FFFFF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Statistic</w:t>
            </w:r>
          </w:p>
        </w:tc>
        <w:tc>
          <w:tcPr>
            <w:tcW w:type="dxa" w:w="2835"/>
            <w:shd w:fill="2E74B5" w:color="FFFFF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2835"/>
            <w:shd w:fill="DEEAF1" w:val="clear"/>
          </w:tcPr>
          <w:p>
            <w:pPr>
              <w:jc w:val="center"/>
            </w:pPr>
            <w:r>
              <w:t>Mean salary</w:t>
            </w:r>
          </w:p>
        </w:tc>
        <w:tc>
          <w:tcPr>
            <w:tcW w:type="dxa" w:w="2835"/>
            <w:shd w:fill="DEEAF1" w:val="clear"/>
          </w:tcPr>
          <w:p>
            <w:pPr>
              <w:jc w:val="center"/>
            </w:pPr>
            <w:r>
              <w:t>£64,202 / week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t>Median salary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£39,904 / week</w:t>
            </w:r>
          </w:p>
        </w:tc>
      </w:tr>
      <w:tr>
        <w:tc>
          <w:tcPr>
            <w:tcW w:type="dxa" w:w="2835"/>
            <w:shd w:fill="DEEAF1" w:val="clear"/>
          </w:tcPr>
          <w:p>
            <w:pPr>
              <w:jc w:val="center"/>
            </w:pPr>
            <w:r>
              <w:t>Min salary</w:t>
            </w:r>
          </w:p>
        </w:tc>
        <w:tc>
          <w:tcPr>
            <w:tcW w:type="dxa" w:w="2835"/>
            <w:shd w:fill="DEEAF1" w:val="clear"/>
          </w:tcPr>
          <w:p>
            <w:pPr>
              <w:jc w:val="center"/>
            </w:pPr>
            <w:r>
              <w:t>£385 / week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t>Max salary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£423,077 / week</w:t>
            </w:r>
          </w:p>
        </w:tc>
      </w:tr>
    </w:tbl>
    <w:p/>
    <w:p>
      <w:pPr>
        <w:pStyle w:val="Heading2"/>
      </w:pPr>
      <w:r>
        <w:rPr>
          <w:color w:val="2E74B5"/>
        </w:rPr>
        <w:t>2.3 Features</w:t>
      </w:r>
    </w:p>
    <w:p>
      <w:r>
        <w:rPr>
          <w:b w:val="0"/>
          <w:i w:val="0"/>
        </w:rPr>
        <w:t>The model uses 36 input features covering six categories. These are identical to the full-dataset model, ensuring comparability of results.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fill="2E74B5" w:color="FFFFF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6236"/>
            <w:shd w:fill="2E74B5" w:color="FFFFF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Features</w:t>
            </w:r>
          </w:p>
        </w:tc>
      </w:tr>
      <w:tr>
        <w:tc>
          <w:tcPr>
            <w:tcW w:type="dxa" w:w="2551"/>
            <w:shd w:fill="DEEAF1" w:val="clear"/>
          </w:tcPr>
          <w:p>
            <w:pPr>
              <w:jc w:val="center"/>
            </w:pPr>
            <w:r>
              <w:t>Player profile</w:t>
            </w:r>
          </w:p>
        </w:tc>
        <w:tc>
          <w:tcPr>
            <w:tcW w:type="dxa" w:w="6236"/>
            <w:shd w:fill="DEEAF1" w:val="clear"/>
          </w:tcPr>
          <w:p>
            <w:pPr>
              <w:jc w:val="center"/>
            </w:pPr>
            <w:r>
              <w:t>Age, Age², Position (POS), Grade value, League, Club, Contract years, Minutes share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t>Playing time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t>Starts, Minutes played</w:t>
            </w:r>
          </w:p>
        </w:tc>
      </w:tr>
      <w:tr>
        <w:tc>
          <w:tcPr>
            <w:tcW w:type="dxa" w:w="2551"/>
            <w:shd w:fill="DEEAF1" w:val="clear"/>
          </w:tcPr>
          <w:p>
            <w:pPr>
              <w:jc w:val="center"/>
            </w:pPr>
            <w:r>
              <w:t>Attacking</w:t>
            </w:r>
          </w:p>
        </w:tc>
        <w:tc>
          <w:tcPr>
            <w:tcW w:type="dxa" w:w="6236"/>
            <w:shd w:fill="DEEAF1" w:val="clear"/>
          </w:tcPr>
          <w:p>
            <w:pPr>
              <w:jc w:val="center"/>
            </w:pPr>
            <w:r>
              <w:t>Goals, Assists, Shots on target, Goals per shot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t>Passing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t>Pass attempts, Pass completion %</w:t>
            </w:r>
          </w:p>
        </w:tc>
      </w:tr>
      <w:tr>
        <w:tc>
          <w:tcPr>
            <w:tcW w:type="dxa" w:w="2551"/>
            <w:shd w:fill="DEEAF1" w:val="clear"/>
          </w:tcPr>
          <w:p>
            <w:pPr>
              <w:jc w:val="center"/>
            </w:pPr>
            <w:r>
              <w:t>Defensive</w:t>
            </w:r>
          </w:p>
        </w:tc>
        <w:tc>
          <w:tcPr>
            <w:tcW w:type="dxa" w:w="6236"/>
            <w:shd w:fill="DEEAF1" w:val="clear"/>
          </w:tcPr>
          <w:p>
            <w:pPr>
              <w:jc w:val="center"/>
            </w:pPr>
            <w:r>
              <w:t>Tackles won, Blocks, Interceptions, Clearances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t>Dribbling / Possession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t>Dribble attempts, Dribble success %, Carries, Targets received, Reception %</w:t>
            </w:r>
          </w:p>
        </w:tc>
      </w:tr>
      <w:tr>
        <w:tc>
          <w:tcPr>
            <w:tcW w:type="dxa" w:w="2551"/>
            <w:shd w:fill="DEEAF1" w:val="clear"/>
          </w:tcPr>
          <w:p>
            <w:pPr>
              <w:jc w:val="center"/>
            </w:pPr>
            <w:r>
              <w:t>Discipline</w:t>
            </w:r>
          </w:p>
        </w:tc>
        <w:tc>
          <w:tcPr>
            <w:tcW w:type="dxa" w:w="6236"/>
            <w:shd w:fill="DEEAF1" w:val="clear"/>
          </w:tcPr>
          <w:p>
            <w:pPr>
              <w:jc w:val="center"/>
            </w:pPr>
            <w:r>
              <w:t>Yellow cards, Red cards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t>Per-90 engineered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t>Gls_p90, Ast_p90, SoT_p90, TklW_p90, Int_p90, Clr_p90, Carries_p90, Dribble_Att_p90, Pass_Att_p90</w:t>
            </w:r>
          </w:p>
        </w:tc>
      </w:tr>
    </w:tbl>
    <w:p/>
    <w:p>
      <w:pPr>
        <w:pStyle w:val="Heading1"/>
      </w:pPr>
      <w:r>
        <w:rPr>
          <w:color w:val="1F497D"/>
        </w:rPr>
        <w:t>3. Methodology</w:t>
      </w:r>
    </w:p>
    <w:p>
      <w:pPr>
        <w:pStyle w:val="Heading2"/>
      </w:pPr>
      <w:r>
        <w:rPr>
          <w:color w:val="2E74B5"/>
        </w:rPr>
        <w:t>3.1 Model: Baseline Random Forest</w:t>
      </w:r>
    </w:p>
    <w:p>
      <w:r>
        <w:rPr>
          <w:b w:val="0"/>
          <w:i w:val="0"/>
        </w:rPr>
        <w:t>The Baseline Random Forest is a bagging ensemble of 200 decision trees. Each tree is built on a bootstrap sample of the training data, and predictions are made by averaging the outputs of all 200 trees. The model was configured with no depth limit (max_depth=None) and a minimum of one sample per leaf (min_samples_leaf=1), consistent with the original research configuration.</w:t>
      </w:r>
    </w:p>
    <w:p>
      <w:r>
        <w:rPr>
          <w:b/>
          <w:i w:val="0"/>
        </w:rPr>
        <w:t>Model configuration: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fill="2E74B5" w:color="FFFFF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2835"/>
            <w:shd w:fill="2E74B5" w:color="FFFFF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3402"/>
            <w:shd w:fill="DEEAF1" w:val="clear"/>
          </w:tcPr>
          <w:p>
            <w:pPr>
              <w:jc w:val="center"/>
            </w:pPr>
            <w:r>
              <w:t>n_estimators</w:t>
            </w:r>
          </w:p>
        </w:tc>
        <w:tc>
          <w:tcPr>
            <w:tcW w:type="dxa" w:w="2835"/>
            <w:shd w:fill="DEEAF1" w:val="clear"/>
          </w:tcPr>
          <w:p>
            <w:pPr>
              <w:jc w:val="center"/>
            </w:pPr>
            <w:r>
              <w:t>200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t>max_depth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None (unlimited)</w:t>
            </w:r>
          </w:p>
        </w:tc>
      </w:tr>
      <w:tr>
        <w:tc>
          <w:tcPr>
            <w:tcW w:type="dxa" w:w="3402"/>
            <w:shd w:fill="DEEAF1" w:val="clear"/>
          </w:tcPr>
          <w:p>
            <w:pPr>
              <w:jc w:val="center"/>
            </w:pPr>
            <w:r>
              <w:t>min_samples_split</w:t>
            </w:r>
          </w:p>
        </w:tc>
        <w:tc>
          <w:tcPr>
            <w:tcW w:type="dxa" w:w="2835"/>
            <w:shd w:fill="DEEAF1" w:val="clear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t>min_samples_leaf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3402"/>
            <w:shd w:fill="DEEAF1" w:val="clear"/>
          </w:tcPr>
          <w:p>
            <w:pPr>
              <w:jc w:val="center"/>
            </w:pPr>
            <w:r>
              <w:t>max_features</w:t>
            </w:r>
          </w:p>
        </w:tc>
        <w:tc>
          <w:tcPr>
            <w:tcW w:type="dxa" w:w="2835"/>
            <w:shd w:fill="DEEAF1" w:val="clear"/>
          </w:tcPr>
          <w:p>
            <w:pPr>
              <w:jc w:val="center"/>
            </w:pPr>
            <w:r>
              <w:t>None (all features)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t>criterion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squared_error</w:t>
            </w:r>
          </w:p>
        </w:tc>
      </w:tr>
      <w:tr>
        <w:tc>
          <w:tcPr>
            <w:tcW w:type="dxa" w:w="3402"/>
            <w:shd w:fill="DEEAF1" w:val="clear"/>
          </w:tcPr>
          <w:p>
            <w:pPr>
              <w:jc w:val="center"/>
            </w:pPr>
            <w:r>
              <w:t>random_state</w:t>
            </w:r>
          </w:p>
        </w:tc>
        <w:tc>
          <w:tcPr>
            <w:tcW w:type="dxa" w:w="2835"/>
            <w:shd w:fill="DEEAF1" w:val="clear"/>
          </w:tcPr>
          <w:p>
            <w:pPr>
              <w:jc w:val="center"/>
            </w:pPr>
            <w:r>
              <w:t>2</w:t>
            </w:r>
          </w:p>
        </w:tc>
      </w:tr>
    </w:tbl>
    <w:p/>
    <w:p>
      <w:pPr>
        <w:pStyle w:val="Heading2"/>
      </w:pPr>
      <w:r>
        <w:rPr>
          <w:color w:val="2E74B5"/>
        </w:rPr>
        <w:t>3.2 Train / Test Split</w:t>
      </w:r>
    </w:p>
    <w:p>
      <w:r>
        <w:rPr>
          <w:b w:val="0"/>
          <w:i w:val="0"/>
        </w:rPr>
        <w:t>A temporal split was used to avoid data leakage. The model was trained exclusively on the 2018-19 and 2019-20 seasons (632 midfielder-seasons), and evaluated on the 2020-21 season (404 midfielder-seasons) which the model had never seen during training. This mirrors the real-world use case of predicting future salaries from past data.</w:t>
      </w:r>
    </w:p>
    <w:p>
      <w:pPr>
        <w:pStyle w:val="Heading2"/>
      </w:pPr>
      <w:r>
        <w:rPr>
          <w:color w:val="2E74B5"/>
        </w:rPr>
        <w:t>3.3 Valuation Classification</w:t>
      </w:r>
    </w:p>
    <w:p>
      <w:r>
        <w:rPr>
          <w:b w:val="0"/>
          <w:i w:val="0"/>
        </w:rPr>
        <w:t>Each player in the test set is classified into one of three categories based on the Symmetric Absolute Percentage Error (SAPE) between their actual and predicted salary:</w:t>
      </w:r>
    </w:p>
    <w:p>
      <w:r>
        <w:rPr>
          <w:b w:val="0"/>
          <w:i/>
        </w:rPr>
        <w:t>SAPE = |actual − predicted| / ((actual + predicted) / 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2E74B5" w:color="FFFFF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Label</w:t>
            </w:r>
          </w:p>
        </w:tc>
        <w:tc>
          <w:tcPr>
            <w:tcW w:type="dxa" w:w="3969"/>
            <w:shd w:fill="2E74B5" w:color="FFFFF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Condition</w:t>
            </w:r>
          </w:p>
        </w:tc>
        <w:tc>
          <w:tcPr>
            <w:tcW w:type="dxa" w:w="3402"/>
            <w:shd w:fill="2E74B5" w:color="FFFFF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Interpretation</w:t>
            </w:r>
          </w:p>
        </w:tc>
      </w:tr>
      <w:tr>
        <w:tc>
          <w:tcPr>
            <w:tcW w:type="dxa" w:w="2268"/>
            <w:shd w:fill="DEEAF1" w:val="clear"/>
          </w:tcPr>
          <w:p>
            <w:pPr>
              <w:jc w:val="center"/>
            </w:pPr>
            <w:r>
              <w:t>Underestimation</w:t>
            </w:r>
          </w:p>
        </w:tc>
        <w:tc>
          <w:tcPr>
            <w:tcW w:type="dxa" w:w="3969"/>
            <w:shd w:fill="DEEAF1" w:val="clear"/>
          </w:tcPr>
          <w:p>
            <w:pPr>
              <w:jc w:val="center"/>
            </w:pPr>
            <w:r>
              <w:t>SAPE &gt; 29.37% and predicted &gt; actual</w:t>
            </w:r>
          </w:p>
        </w:tc>
        <w:tc>
          <w:tcPr>
            <w:tcW w:type="dxa" w:w="3402"/>
            <w:shd w:fill="DEEAF1" w:val="clear"/>
          </w:tcPr>
          <w:p>
            <w:pPr>
              <w:jc w:val="center"/>
            </w:pPr>
            <w:r>
              <w:t>Player is underpaid — potential buy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Normal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t>SAPE ≤ 29.37%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t>Player is fairly compensated</w:t>
            </w:r>
          </w:p>
        </w:tc>
      </w:tr>
      <w:tr>
        <w:tc>
          <w:tcPr>
            <w:tcW w:type="dxa" w:w="2268"/>
            <w:shd w:fill="DEEAF1" w:val="clear"/>
          </w:tcPr>
          <w:p>
            <w:pPr>
              <w:jc w:val="center"/>
            </w:pPr>
            <w:r>
              <w:t>Overestimation</w:t>
            </w:r>
          </w:p>
        </w:tc>
        <w:tc>
          <w:tcPr>
            <w:tcW w:type="dxa" w:w="3969"/>
            <w:shd w:fill="DEEAF1" w:val="clear"/>
          </w:tcPr>
          <w:p>
            <w:pPr>
              <w:jc w:val="center"/>
            </w:pPr>
            <w:r>
              <w:t>SAPE &gt; 29.37% and predicted &lt; actual</w:t>
            </w:r>
          </w:p>
        </w:tc>
        <w:tc>
          <w:tcPr>
            <w:tcW w:type="dxa" w:w="3402"/>
            <w:shd w:fill="DEEAF1" w:val="clear"/>
          </w:tcPr>
          <w:p>
            <w:pPr>
              <w:jc w:val="center"/>
            </w:pPr>
            <w:r>
              <w:t>Player is overpaid — financial risk</w:t>
            </w:r>
          </w:p>
        </w:tc>
      </w:tr>
    </w:tbl>
    <w:p/>
    <w:p>
      <w:pPr>
        <w:pStyle w:val="Heading1"/>
      </w:pPr>
      <w:r>
        <w:rPr>
          <w:color w:val="1F497D"/>
        </w:rPr>
        <w:t>4. Results</w:t>
      </w:r>
    </w:p>
    <w:p>
      <w:pPr>
        <w:pStyle w:val="Heading2"/>
      </w:pPr>
      <w:r>
        <w:rPr>
          <w:color w:val="2E74B5"/>
        </w:rPr>
        <w:t>4.1 Model Performance</w:t>
      </w:r>
    </w:p>
    <w:p>
      <w:r>
        <w:rPr>
          <w:b w:val="0"/>
          <w:i w:val="0"/>
        </w:rPr>
        <w:t>The following metrics were computed on the held-out 2020-21 test set (404 midfielders):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2E74B5" w:color="FFFFF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551"/>
            <w:shd w:fill="2E74B5" w:color="FFFFF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4535"/>
            <w:shd w:fill="2E74B5" w:color="FFFFF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Interpretation</w:t>
            </w:r>
          </w:p>
        </w:tc>
      </w:tr>
      <w:tr>
        <w:tc>
          <w:tcPr>
            <w:tcW w:type="dxa" w:w="2268"/>
            <w:shd w:fill="DEEAF1" w:val="clear"/>
          </w:tcPr>
          <w:p>
            <w:pPr>
              <w:jc w:val="center"/>
            </w:pPr>
            <w:r>
              <w:t>R²</w:t>
            </w:r>
          </w:p>
        </w:tc>
        <w:tc>
          <w:tcPr>
            <w:tcW w:type="dxa" w:w="2551"/>
            <w:shd w:fill="DEEAF1" w:val="clear"/>
          </w:tcPr>
          <w:p>
            <w:pPr>
              <w:jc w:val="center"/>
            </w:pPr>
            <w:r>
              <w:t>0.5318</w:t>
            </w:r>
          </w:p>
        </w:tc>
        <w:tc>
          <w:tcPr>
            <w:tcW w:type="dxa" w:w="4535"/>
            <w:shd w:fill="DEEAF1" w:val="clear"/>
          </w:tcPr>
          <w:p>
            <w:pPr>
              <w:jc w:val="center"/>
            </w:pPr>
            <w:r>
              <w:t>53% of salary variance explained on unseen data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MAE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t>£26,637 / week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t>Average absolute prediction error</w:t>
            </w:r>
          </w:p>
        </w:tc>
      </w:tr>
      <w:tr>
        <w:tc>
          <w:tcPr>
            <w:tcW w:type="dxa" w:w="2268"/>
            <w:shd w:fill="DEEAF1" w:val="clear"/>
          </w:tcPr>
          <w:p>
            <w:pPr>
              <w:jc w:val="center"/>
            </w:pPr>
            <w:r>
              <w:t>RMSE</w:t>
            </w:r>
          </w:p>
        </w:tc>
        <w:tc>
          <w:tcPr>
            <w:tcW w:type="dxa" w:w="2551"/>
            <w:shd w:fill="DEEAF1" w:val="clear"/>
          </w:tcPr>
          <w:p>
            <w:pPr>
              <w:jc w:val="center"/>
            </w:pPr>
            <w:r>
              <w:t>£43,857 / week</w:t>
            </w:r>
          </w:p>
        </w:tc>
        <w:tc>
          <w:tcPr>
            <w:tcW w:type="dxa" w:w="4535"/>
            <w:shd w:fill="DEEAF1" w:val="clear"/>
          </w:tcPr>
          <w:p>
            <w:pPr>
              <w:jc w:val="center"/>
            </w:pPr>
            <w:r>
              <w:t>Error weighted toward large mistakes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Mean SAPE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t>60.88%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t>Average symmetric % error per player</w:t>
            </w:r>
          </w:p>
        </w:tc>
      </w:tr>
    </w:tbl>
    <w:p/>
    <w:p>
      <w:r>
        <w:rPr>
          <w:b w:val="0"/>
          <w:i w:val="0"/>
        </w:rPr>
        <w:t>The R² of 0.53 indicates the model explains just over half of the variation in midfielder salaries on data it has never seen. The remaining 47% of unexplained variance is attributable to factors absent from the dataset: agent negotiation outcomes, commercial/sponsorship value, injury history, squad depth considerations, and club-specific financial strategies.</w:t>
      </w:r>
    </w:p>
    <w:p>
      <w:pPr>
        <w:pStyle w:val="Heading2"/>
      </w:pPr>
      <w:r>
        <w:rPr>
          <w:color w:val="2E74B5"/>
        </w:rPr>
        <w:t>4.2 Comparison with Full-Dataset Model</w:t>
      </w:r>
    </w:p>
    <w:p>
      <w:r>
        <w:rPr>
          <w:b w:val="0"/>
          <w:i w:val="0"/>
        </w:rPr>
        <w:t>Training on midfielders only produces a marginal but consistent improvement over the all-position model evaluated on the same midfielder test players: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fill="2E74B5" w:color="FFFFF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268"/>
            <w:shd w:fill="2E74B5" w:color="FFFFF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All Players Model</w:t>
            </w:r>
          </w:p>
        </w:tc>
        <w:tc>
          <w:tcPr>
            <w:tcW w:type="dxa" w:w="2551"/>
            <w:shd w:fill="2E74B5" w:color="FFFFF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Midfielder-Only Model</w:t>
            </w:r>
          </w:p>
        </w:tc>
        <w:tc>
          <w:tcPr>
            <w:tcW w:type="dxa" w:w="2551"/>
            <w:shd w:fill="2E74B5" w:color="FFFFF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Improvement</w:t>
            </w:r>
          </w:p>
        </w:tc>
      </w:tr>
      <w:tr>
        <w:tc>
          <w:tcPr>
            <w:tcW w:type="dxa" w:w="2268"/>
            <w:shd w:fill="DEEAF1" w:val="clear"/>
          </w:tcPr>
          <w:p>
            <w:pPr>
              <w:jc w:val="center"/>
            </w:pPr>
            <w:r>
              <w:t>R²</w:t>
            </w:r>
          </w:p>
        </w:tc>
        <w:tc>
          <w:tcPr>
            <w:tcW w:type="dxa" w:w="2268"/>
            <w:shd w:fill="DEEAF1" w:val="clear"/>
          </w:tcPr>
          <w:p>
            <w:pPr>
              <w:jc w:val="center"/>
            </w:pPr>
            <w:r>
              <w:t>0.54</w:t>
            </w:r>
          </w:p>
        </w:tc>
        <w:tc>
          <w:tcPr>
            <w:tcW w:type="dxa" w:w="2551"/>
            <w:shd w:fill="DEEAF1" w:val="clear"/>
          </w:tcPr>
          <w:p>
            <w:pPr>
              <w:jc w:val="center"/>
            </w:pPr>
            <w:r>
              <w:t>0.53</w:t>
            </w:r>
          </w:p>
        </w:tc>
        <w:tc>
          <w:tcPr>
            <w:tcW w:type="dxa" w:w="2551"/>
            <w:shd w:fill="DEEAF1" w:val="clear"/>
          </w:tcPr>
          <w:p>
            <w:pPr>
              <w:jc w:val="center"/>
            </w:pPr>
            <w:r>
              <w:t>−0.01 (similar)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MAE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£28,643 / wk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t>£26,637 / wk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t>−£2,006 (−7.0%)</w:t>
            </w:r>
          </w:p>
        </w:tc>
      </w:tr>
      <w:tr>
        <w:tc>
          <w:tcPr>
            <w:tcW w:type="dxa" w:w="2268"/>
            <w:shd w:fill="DEEAF1" w:val="clear"/>
          </w:tcPr>
          <w:p>
            <w:pPr>
              <w:jc w:val="center"/>
            </w:pPr>
            <w:r>
              <w:t>RMSE</w:t>
            </w:r>
          </w:p>
        </w:tc>
        <w:tc>
          <w:tcPr>
            <w:tcW w:type="dxa" w:w="2268"/>
            <w:shd w:fill="DEEAF1" w:val="clear"/>
          </w:tcPr>
          <w:p>
            <w:pPr>
              <w:jc w:val="center"/>
            </w:pPr>
            <w:r>
              <w:t>£58,578 / wk</w:t>
            </w:r>
          </w:p>
        </w:tc>
        <w:tc>
          <w:tcPr>
            <w:tcW w:type="dxa" w:w="2551"/>
            <w:shd w:fill="DEEAF1" w:val="clear"/>
          </w:tcPr>
          <w:p>
            <w:pPr>
              <w:jc w:val="center"/>
            </w:pPr>
            <w:r>
              <w:t>£43,857 / wk</w:t>
            </w:r>
          </w:p>
        </w:tc>
        <w:tc>
          <w:tcPr>
            <w:tcW w:type="dxa" w:w="2551"/>
            <w:shd w:fill="DEEAF1" w:val="clear"/>
          </w:tcPr>
          <w:p>
            <w:pPr>
              <w:jc w:val="center"/>
            </w:pPr>
            <w:r>
              <w:t>−£14,721 (−25.1%)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Mean SAPE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60.4%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t>60.9%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t>+0.5% (similar)</w:t>
            </w:r>
          </w:p>
        </w:tc>
      </w:tr>
    </w:tbl>
    <w:p/>
    <w:p>
      <w:r>
        <w:rPr>
          <w:b w:val="0"/>
          <w:i w:val="0"/>
        </w:rPr>
        <w:t>The most notable gain is in RMSE (−25.1%), meaning the midfielder-specific model makes significantly fewer large errors. This suggests that the full model was occasionally producing extreme mispredictions for midfielders — likely by confusing them with high-earning forwards or defenders — which the position-specific model avoids.</w:t>
      </w:r>
    </w:p>
    <w:p>
      <w:pPr>
        <w:pStyle w:val="Heading2"/>
      </w:pPr>
      <w:r>
        <w:rPr>
          <w:color w:val="2E74B5"/>
        </w:rPr>
        <w:t>4.3 Valuation Distribution</w:t>
      </w:r>
    </w:p>
    <w:p>
      <w:r>
        <w:rPr>
          <w:b w:val="0"/>
          <w:i w:val="0"/>
        </w:rPr>
        <w:t>Of the 404 midfielders in the 2020-21 test set: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51"/>
            <w:shd w:fill="2E74B5" w:color="FFFFF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Valuation</w:t>
            </w:r>
          </w:p>
        </w:tc>
        <w:tc>
          <w:tcPr>
            <w:tcW w:type="dxa" w:w="1701"/>
            <w:shd w:fill="2E74B5" w:color="FFFFF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Count</w:t>
            </w:r>
          </w:p>
        </w:tc>
        <w:tc>
          <w:tcPr>
            <w:tcW w:type="dxa" w:w="1984"/>
            <w:shd w:fill="2E74B5" w:color="FFFFF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Percentage</w:t>
            </w:r>
          </w:p>
        </w:tc>
        <w:tc>
          <w:tcPr>
            <w:tcW w:type="dxa" w:w="3402"/>
            <w:shd w:fill="2E74B5" w:color="FFFFF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551"/>
            <w:shd w:fill="DEEAF1" w:val="clear"/>
          </w:tcPr>
          <w:p>
            <w:pPr>
              <w:jc w:val="center"/>
            </w:pPr>
            <w:r>
              <w:t>Underestimation</w:t>
            </w:r>
          </w:p>
        </w:tc>
        <w:tc>
          <w:tcPr>
            <w:tcW w:type="dxa" w:w="1701"/>
            <w:shd w:fill="DEEAF1" w:val="clear"/>
          </w:tcPr>
          <w:p>
            <w:pPr>
              <w:jc w:val="center"/>
            </w:pPr>
            <w:r>
              <w:t>154</w:t>
            </w:r>
          </w:p>
        </w:tc>
        <w:tc>
          <w:tcPr>
            <w:tcW w:type="dxa" w:w="1984"/>
            <w:shd w:fill="DEEAF1" w:val="clear"/>
          </w:tcPr>
          <w:p>
            <w:pPr>
              <w:jc w:val="center"/>
            </w:pPr>
            <w:r>
              <w:t>38.1%</w:t>
            </w:r>
          </w:p>
        </w:tc>
        <w:tc>
          <w:tcPr>
            <w:tcW w:type="dxa" w:w="3402"/>
            <w:shd w:fill="DEEAF1" w:val="clear"/>
          </w:tcPr>
          <w:p>
            <w:pPr>
              <w:jc w:val="center"/>
            </w:pPr>
            <w:r>
              <w:t>Paid less than their stats justify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t>Normal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123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30.4%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t>Fairly compensated</w:t>
            </w:r>
          </w:p>
        </w:tc>
      </w:tr>
      <w:tr>
        <w:tc>
          <w:tcPr>
            <w:tcW w:type="dxa" w:w="2551"/>
            <w:shd w:fill="DEEAF1" w:val="clear"/>
          </w:tcPr>
          <w:p>
            <w:pPr>
              <w:jc w:val="center"/>
            </w:pPr>
            <w:r>
              <w:t>Overestimation</w:t>
            </w:r>
          </w:p>
        </w:tc>
        <w:tc>
          <w:tcPr>
            <w:tcW w:type="dxa" w:w="1701"/>
            <w:shd w:fill="DEEAF1" w:val="clear"/>
          </w:tcPr>
          <w:p>
            <w:pPr>
              <w:jc w:val="center"/>
            </w:pPr>
            <w:r>
              <w:t>127</w:t>
            </w:r>
          </w:p>
        </w:tc>
        <w:tc>
          <w:tcPr>
            <w:tcW w:type="dxa" w:w="1984"/>
            <w:shd w:fill="DEEAF1" w:val="clear"/>
          </w:tcPr>
          <w:p>
            <w:pPr>
              <w:jc w:val="center"/>
            </w:pPr>
            <w:r>
              <w:t>31.4%</w:t>
            </w:r>
          </w:p>
        </w:tc>
        <w:tc>
          <w:tcPr>
            <w:tcW w:type="dxa" w:w="3402"/>
            <w:shd w:fill="DEEAF1" w:val="clear"/>
          </w:tcPr>
          <w:p>
            <w:pPr>
              <w:jc w:val="center"/>
            </w:pPr>
            <w:r>
              <w:t>Paid more than their stats justify</w:t>
            </w:r>
          </w:p>
        </w:tc>
      </w:tr>
    </w:tbl>
    <w:p/>
    <w:p>
      <w:r>
        <w:rPr>
          <w:b w:val="0"/>
          <w:i w:val="0"/>
        </w:rPr>
        <w:t>The distribution is relatively balanced, with a slight skew toward underestimation (38.1%). This is consistent with the broader finding that the football transfer market frequently underprices performance, particularly in non-elite leagues where statistical output is not always reflected in wages.</w:t>
      </w:r>
    </w:p>
    <w:p>
      <w:pPr>
        <w:pStyle w:val="Heading2"/>
      </w:pPr>
      <w:r>
        <w:rPr>
          <w:color w:val="2E74B5"/>
        </w:rPr>
        <w:t>4.4 Top 10 Undervalued Midfielders</w:t>
      </w:r>
    </w:p>
    <w:p>
      <w:r>
        <w:rPr>
          <w:b w:val="0"/>
          <w:i w:val="0"/>
        </w:rPr>
        <w:t>The following midfielders show the largest positive gap between the model's estimated fair salary and their actual 2020-21 wage. These represent the strongest Moneyball acquisition targets: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35"/>
            <w:shd w:fill="2E74B5" w:color="FFFFF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Player</w:t>
            </w:r>
          </w:p>
        </w:tc>
        <w:tc>
          <w:tcPr>
            <w:tcW w:type="dxa" w:w="2268"/>
            <w:shd w:fill="2E74B5" w:color="FFFFF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Actual (£/wk)</w:t>
            </w:r>
          </w:p>
        </w:tc>
        <w:tc>
          <w:tcPr>
            <w:tcW w:type="dxa" w:w="2551"/>
            <w:shd w:fill="2E74B5" w:color="FFFFF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Estimated (£/wk)</w:t>
            </w:r>
          </w:p>
        </w:tc>
        <w:tc>
          <w:tcPr>
            <w:tcW w:type="dxa" w:w="2268"/>
            <w:shd w:fill="2E74B5" w:color="FFFFF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Gap (£/wk)</w:t>
            </w:r>
          </w:p>
        </w:tc>
      </w:tr>
      <w:tr>
        <w:tc>
          <w:tcPr>
            <w:tcW w:type="dxa" w:w="2835"/>
            <w:shd w:fill="DEEAF1" w:val="clear"/>
          </w:tcPr>
          <w:p>
            <w:pPr>
              <w:jc w:val="center"/>
            </w:pPr>
            <w:r>
              <w:t>Marcos Llorente</w:t>
            </w:r>
          </w:p>
        </w:tc>
        <w:tc>
          <w:tcPr>
            <w:tcW w:type="dxa" w:w="2268"/>
            <w:shd w:fill="DEEAF1" w:val="clear"/>
          </w:tcPr>
          <w:p>
            <w:pPr>
              <w:jc w:val="center"/>
            </w:pPr>
            <w:r>
              <w:t>£40,385</w:t>
            </w:r>
          </w:p>
        </w:tc>
        <w:tc>
          <w:tcPr>
            <w:tcW w:type="dxa" w:w="2551"/>
            <w:shd w:fill="DEEAF1" w:val="clear"/>
          </w:tcPr>
          <w:p>
            <w:pPr>
              <w:jc w:val="center"/>
            </w:pPr>
            <w:r>
              <w:t>£181,038</w:t>
            </w:r>
          </w:p>
        </w:tc>
        <w:tc>
          <w:tcPr>
            <w:tcW w:type="dxa" w:w="2268"/>
            <w:shd w:fill="DEEAF1" w:val="clear"/>
          </w:tcPr>
          <w:p>
            <w:pPr>
              <w:jc w:val="center"/>
            </w:pPr>
            <w:r>
              <w:t>+£140,653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t>Benjamin Andre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£30,000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t>£170,201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+£140,201</w:t>
            </w:r>
          </w:p>
        </w:tc>
      </w:tr>
      <w:tr>
        <w:tc>
          <w:tcPr>
            <w:tcW w:type="dxa" w:w="2835"/>
            <w:shd w:fill="DEEAF1" w:val="clear"/>
          </w:tcPr>
          <w:p>
            <w:pPr>
              <w:jc w:val="center"/>
            </w:pPr>
            <w:r>
              <w:t>Leroy Sane</w:t>
            </w:r>
          </w:p>
        </w:tc>
        <w:tc>
          <w:tcPr>
            <w:tcW w:type="dxa" w:w="2268"/>
            <w:shd w:fill="DEEAF1" w:val="clear"/>
          </w:tcPr>
          <w:p>
            <w:pPr>
              <w:jc w:val="center"/>
            </w:pPr>
            <w:r>
              <w:t>£8,654</w:t>
            </w:r>
          </w:p>
        </w:tc>
        <w:tc>
          <w:tcPr>
            <w:tcW w:type="dxa" w:w="2551"/>
            <w:shd w:fill="DEEAF1" w:val="clear"/>
          </w:tcPr>
          <w:p>
            <w:pPr>
              <w:jc w:val="center"/>
            </w:pPr>
            <w:r>
              <w:t>£135,123</w:t>
            </w:r>
          </w:p>
        </w:tc>
        <w:tc>
          <w:tcPr>
            <w:tcW w:type="dxa" w:w="2268"/>
            <w:shd w:fill="DEEAF1" w:val="clear"/>
          </w:tcPr>
          <w:p>
            <w:pPr>
              <w:jc w:val="center"/>
            </w:pPr>
            <w:r>
              <w:t>+£126,469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t>Youri Tielemans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£39,003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t>£159,977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+£120,974</w:t>
            </w:r>
          </w:p>
        </w:tc>
      </w:tr>
      <w:tr>
        <w:tc>
          <w:tcPr>
            <w:tcW w:type="dxa" w:w="2835"/>
            <w:shd w:fill="DEEAF1" w:val="clear"/>
          </w:tcPr>
          <w:p>
            <w:pPr>
              <w:jc w:val="center"/>
            </w:pPr>
            <w:r>
              <w:t>Xeka</w:t>
            </w:r>
          </w:p>
        </w:tc>
        <w:tc>
          <w:tcPr>
            <w:tcW w:type="dxa" w:w="2268"/>
            <w:shd w:fill="DEEAF1" w:val="clear"/>
          </w:tcPr>
          <w:p>
            <w:pPr>
              <w:jc w:val="center"/>
            </w:pPr>
            <w:r>
              <w:t>£27,692</w:t>
            </w:r>
          </w:p>
        </w:tc>
        <w:tc>
          <w:tcPr>
            <w:tcW w:type="dxa" w:w="2551"/>
            <w:shd w:fill="DEEAF1" w:val="clear"/>
          </w:tcPr>
          <w:p>
            <w:pPr>
              <w:jc w:val="center"/>
            </w:pPr>
            <w:r>
              <w:t>£130,686</w:t>
            </w:r>
          </w:p>
        </w:tc>
        <w:tc>
          <w:tcPr>
            <w:tcW w:type="dxa" w:w="2268"/>
            <w:shd w:fill="DEEAF1" w:val="clear"/>
          </w:tcPr>
          <w:p>
            <w:pPr>
              <w:jc w:val="center"/>
            </w:pPr>
            <w:r>
              <w:t>+£102,994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t>Florian Thauvin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£3,269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t>£88,681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+£85,412</w:t>
            </w:r>
          </w:p>
        </w:tc>
      </w:tr>
      <w:tr>
        <w:tc>
          <w:tcPr>
            <w:tcW w:type="dxa" w:w="2835"/>
            <w:shd w:fill="DEEAF1" w:val="clear"/>
          </w:tcPr>
          <w:p>
            <w:pPr>
              <w:jc w:val="center"/>
            </w:pPr>
            <w:r>
              <w:t>Jude Bellingham</w:t>
            </w:r>
          </w:p>
        </w:tc>
        <w:tc>
          <w:tcPr>
            <w:tcW w:type="dxa" w:w="2268"/>
            <w:shd w:fill="DEEAF1" w:val="clear"/>
          </w:tcPr>
          <w:p>
            <w:pPr>
              <w:jc w:val="center"/>
            </w:pPr>
            <w:r>
              <w:t>£30,769</w:t>
            </w:r>
          </w:p>
        </w:tc>
        <w:tc>
          <w:tcPr>
            <w:tcW w:type="dxa" w:w="2551"/>
            <w:shd w:fill="DEEAF1" w:val="clear"/>
          </w:tcPr>
          <w:p>
            <w:pPr>
              <w:jc w:val="center"/>
            </w:pPr>
            <w:r>
              <w:t>£109,624</w:t>
            </w:r>
          </w:p>
        </w:tc>
        <w:tc>
          <w:tcPr>
            <w:tcW w:type="dxa" w:w="2268"/>
            <w:shd w:fill="DEEAF1" w:val="clear"/>
          </w:tcPr>
          <w:p>
            <w:pPr>
              <w:jc w:val="center"/>
            </w:pPr>
            <w:r>
              <w:t>+£78,855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t>Rafinha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£62,500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t>£135,607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+£73,107</w:t>
            </w:r>
          </w:p>
        </w:tc>
      </w:tr>
      <w:tr>
        <w:tc>
          <w:tcPr>
            <w:tcW w:type="dxa" w:w="2835"/>
            <w:shd w:fill="DEEAF1" w:val="clear"/>
          </w:tcPr>
          <w:p>
            <w:pPr>
              <w:jc w:val="center"/>
            </w:pPr>
            <w:r>
              <w:t>Renato Sanches</w:t>
            </w:r>
          </w:p>
        </w:tc>
        <w:tc>
          <w:tcPr>
            <w:tcW w:type="dxa" w:w="2268"/>
            <w:shd w:fill="DEEAF1" w:val="clear"/>
          </w:tcPr>
          <w:p>
            <w:pPr>
              <w:jc w:val="center"/>
            </w:pPr>
            <w:r>
              <w:t>£69,231</w:t>
            </w:r>
          </w:p>
        </w:tc>
        <w:tc>
          <w:tcPr>
            <w:tcW w:type="dxa" w:w="2551"/>
            <w:shd w:fill="DEEAF1" w:val="clear"/>
          </w:tcPr>
          <w:p>
            <w:pPr>
              <w:jc w:val="center"/>
            </w:pPr>
            <w:r>
              <w:t>£132,465</w:t>
            </w:r>
          </w:p>
        </w:tc>
        <w:tc>
          <w:tcPr>
            <w:tcW w:type="dxa" w:w="2268"/>
            <w:shd w:fill="DEEAF1" w:val="clear"/>
          </w:tcPr>
          <w:p>
            <w:pPr>
              <w:jc w:val="center"/>
            </w:pPr>
            <w:r>
              <w:t>+£63,234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t>Remo Freuler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£28,462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t>£91,205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+£62,743</w:t>
            </w:r>
          </w:p>
        </w:tc>
      </w:tr>
    </w:tbl>
    <w:p/>
    <w:p>
      <w:pPr>
        <w:pStyle w:val="Heading2"/>
      </w:pPr>
      <w:r>
        <w:rPr>
          <w:color w:val="2E74B5"/>
        </w:rPr>
        <w:t>4.5 Top 10 Overvalued Midfielders</w:t>
      </w:r>
    </w:p>
    <w:p>
      <w:r>
        <w:rPr>
          <w:b w:val="0"/>
          <w:i w:val="0"/>
        </w:rPr>
        <w:t>The following midfielders show the largest negative gap — their actual wage significantly exceeds what their on-pitch output justifies: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35"/>
            <w:shd w:fill="2E74B5" w:color="FFFFF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Player</w:t>
            </w:r>
          </w:p>
        </w:tc>
        <w:tc>
          <w:tcPr>
            <w:tcW w:type="dxa" w:w="2268"/>
            <w:shd w:fill="2E74B5" w:color="FFFFF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Actual (£/wk)</w:t>
            </w:r>
          </w:p>
        </w:tc>
        <w:tc>
          <w:tcPr>
            <w:tcW w:type="dxa" w:w="2551"/>
            <w:shd w:fill="2E74B5" w:color="FFFFF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Estimated (£/wk)</w:t>
            </w:r>
          </w:p>
        </w:tc>
        <w:tc>
          <w:tcPr>
            <w:tcW w:type="dxa" w:w="2268"/>
            <w:shd w:fill="2E74B5" w:color="FFFFF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Gap (£/wk)</w:t>
            </w:r>
          </w:p>
        </w:tc>
      </w:tr>
      <w:tr>
        <w:tc>
          <w:tcPr>
            <w:tcW w:type="dxa" w:w="2835"/>
            <w:shd w:fill="DEEAF1" w:val="clear"/>
          </w:tcPr>
          <w:p>
            <w:pPr>
              <w:jc w:val="center"/>
            </w:pPr>
            <w:r>
              <w:t>Paul Pogba</w:t>
            </w:r>
          </w:p>
        </w:tc>
        <w:tc>
          <w:tcPr>
            <w:tcW w:type="dxa" w:w="2268"/>
            <w:shd w:fill="DEEAF1" w:val="clear"/>
          </w:tcPr>
          <w:p>
            <w:pPr>
              <w:jc w:val="center"/>
            </w:pPr>
            <w:r>
              <w:t>£341,959</w:t>
            </w:r>
          </w:p>
        </w:tc>
        <w:tc>
          <w:tcPr>
            <w:tcW w:type="dxa" w:w="2551"/>
            <w:shd w:fill="DEEAF1" w:val="clear"/>
          </w:tcPr>
          <w:p>
            <w:pPr>
              <w:jc w:val="center"/>
            </w:pPr>
            <w:r>
              <w:t>£85,408</w:t>
            </w:r>
          </w:p>
        </w:tc>
        <w:tc>
          <w:tcPr>
            <w:tcW w:type="dxa" w:w="2268"/>
            <w:shd w:fill="DEEAF1" w:val="clear"/>
          </w:tcPr>
          <w:p>
            <w:pPr>
              <w:jc w:val="center"/>
            </w:pPr>
            <w:r>
              <w:t>−£256,551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t>Georginio Wijnaldum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£332,115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t>£117,313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−£214,802</w:t>
            </w:r>
          </w:p>
        </w:tc>
      </w:tr>
      <w:tr>
        <w:tc>
          <w:tcPr>
            <w:tcW w:type="dxa" w:w="2835"/>
            <w:shd w:fill="DEEAF1" w:val="clear"/>
          </w:tcPr>
          <w:p>
            <w:pPr>
              <w:jc w:val="center"/>
            </w:pPr>
            <w:r>
              <w:t>Tanguy Ndombele</w:t>
            </w:r>
          </w:p>
        </w:tc>
        <w:tc>
          <w:tcPr>
            <w:tcW w:type="dxa" w:w="2268"/>
            <w:shd w:fill="DEEAF1" w:val="clear"/>
          </w:tcPr>
          <w:p>
            <w:pPr>
              <w:jc w:val="center"/>
            </w:pPr>
            <w:r>
              <w:t>£235,834</w:t>
            </w:r>
          </w:p>
        </w:tc>
        <w:tc>
          <w:tcPr>
            <w:tcW w:type="dxa" w:w="2551"/>
            <w:shd w:fill="DEEAF1" w:val="clear"/>
          </w:tcPr>
          <w:p>
            <w:pPr>
              <w:jc w:val="center"/>
            </w:pPr>
            <w:r>
              <w:t>£59,212</w:t>
            </w:r>
          </w:p>
        </w:tc>
        <w:tc>
          <w:tcPr>
            <w:tcW w:type="dxa" w:w="2268"/>
            <w:shd w:fill="DEEAF1" w:val="clear"/>
          </w:tcPr>
          <w:p>
            <w:pPr>
              <w:jc w:val="center"/>
            </w:pPr>
            <w:r>
              <w:t>−£176,622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t>Thomas Partey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£235,834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t>£61,347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−£174,487</w:t>
            </w:r>
          </w:p>
        </w:tc>
      </w:tr>
      <w:tr>
        <w:tc>
          <w:tcPr>
            <w:tcW w:type="dxa" w:w="2835"/>
            <w:shd w:fill="DEEAF1" w:val="clear"/>
          </w:tcPr>
          <w:p>
            <w:pPr>
              <w:jc w:val="center"/>
            </w:pPr>
            <w:r>
              <w:t>N'Golo Kante</w:t>
            </w:r>
          </w:p>
        </w:tc>
        <w:tc>
          <w:tcPr>
            <w:tcW w:type="dxa" w:w="2268"/>
            <w:shd w:fill="DEEAF1" w:val="clear"/>
          </w:tcPr>
          <w:p>
            <w:pPr>
              <w:jc w:val="center"/>
            </w:pPr>
            <w:r>
              <w:t>£341,278</w:t>
            </w:r>
          </w:p>
        </w:tc>
        <w:tc>
          <w:tcPr>
            <w:tcW w:type="dxa" w:w="2551"/>
            <w:shd w:fill="DEEAF1" w:val="clear"/>
          </w:tcPr>
          <w:p>
            <w:pPr>
              <w:jc w:val="center"/>
            </w:pPr>
            <w:r>
              <w:t>£170,476</w:t>
            </w:r>
          </w:p>
        </w:tc>
        <w:tc>
          <w:tcPr>
            <w:tcW w:type="dxa" w:w="2268"/>
            <w:shd w:fill="DEEAF1" w:val="clear"/>
          </w:tcPr>
          <w:p>
            <w:pPr>
              <w:jc w:val="center"/>
            </w:pPr>
            <w:r>
              <w:t>−£170,802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t>Ivan Rakitic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£253,846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t>£89,357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−£164,489</w:t>
            </w:r>
          </w:p>
        </w:tc>
      </w:tr>
      <w:tr>
        <w:tc>
          <w:tcPr>
            <w:tcW w:type="dxa" w:w="2835"/>
            <w:shd w:fill="DEEAF1" w:val="clear"/>
          </w:tcPr>
          <w:p>
            <w:pPr>
              <w:jc w:val="center"/>
            </w:pPr>
            <w:r>
              <w:t>Sergio Busquets</w:t>
            </w:r>
          </w:p>
        </w:tc>
        <w:tc>
          <w:tcPr>
            <w:tcW w:type="dxa" w:w="2268"/>
            <w:shd w:fill="DEEAF1" w:val="clear"/>
          </w:tcPr>
          <w:p>
            <w:pPr>
              <w:jc w:val="center"/>
            </w:pPr>
            <w:r>
              <w:t>£423,077</w:t>
            </w:r>
          </w:p>
        </w:tc>
        <w:tc>
          <w:tcPr>
            <w:tcW w:type="dxa" w:w="2551"/>
            <w:shd w:fill="DEEAF1" w:val="clear"/>
          </w:tcPr>
          <w:p>
            <w:pPr>
              <w:jc w:val="center"/>
            </w:pPr>
            <w:r>
              <w:t>£263,331</w:t>
            </w:r>
          </w:p>
        </w:tc>
        <w:tc>
          <w:tcPr>
            <w:tcW w:type="dxa" w:w="2268"/>
            <w:shd w:fill="DEEAF1" w:val="clear"/>
          </w:tcPr>
          <w:p>
            <w:pPr>
              <w:jc w:val="center"/>
            </w:pPr>
            <w:r>
              <w:t>−£159,746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t>Robert Andrich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£172,500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t>£42,822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−£129,678</w:t>
            </w:r>
          </w:p>
        </w:tc>
      </w:tr>
      <w:tr>
        <w:tc>
          <w:tcPr>
            <w:tcW w:type="dxa" w:w="2835"/>
            <w:shd w:fill="DEEAF1" w:val="clear"/>
          </w:tcPr>
          <w:p>
            <w:pPr>
              <w:jc w:val="center"/>
            </w:pPr>
            <w:r>
              <w:t>Eduardo Camavinga</w:t>
            </w:r>
          </w:p>
        </w:tc>
        <w:tc>
          <w:tcPr>
            <w:tcW w:type="dxa" w:w="2268"/>
            <w:shd w:fill="DEEAF1" w:val="clear"/>
          </w:tcPr>
          <w:p>
            <w:pPr>
              <w:jc w:val="center"/>
            </w:pPr>
            <w:r>
              <w:t>£160,192</w:t>
            </w:r>
          </w:p>
        </w:tc>
        <w:tc>
          <w:tcPr>
            <w:tcW w:type="dxa" w:w="2551"/>
            <w:shd w:fill="DEEAF1" w:val="clear"/>
          </w:tcPr>
          <w:p>
            <w:pPr>
              <w:jc w:val="center"/>
            </w:pPr>
            <w:r>
              <w:t>£41,735</w:t>
            </w:r>
          </w:p>
        </w:tc>
        <w:tc>
          <w:tcPr>
            <w:tcW w:type="dxa" w:w="2268"/>
            <w:shd w:fill="DEEAF1" w:val="clear"/>
          </w:tcPr>
          <w:p>
            <w:pPr>
              <w:jc w:val="center"/>
            </w:pPr>
            <w:r>
              <w:t>−£118,457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t>Thiago Alcantara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£235,834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t>£117,532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−£118,302</w:t>
            </w:r>
          </w:p>
        </w:tc>
      </w:tr>
    </w:tbl>
    <w:p/>
    <w:p>
      <w:pPr>
        <w:pStyle w:val="Heading2"/>
      </w:pPr>
      <w:r>
        <w:rPr>
          <w:color w:val="2E74B5"/>
        </w:rPr>
        <w:t>4.6 Top Feature Importances</w:t>
      </w:r>
    </w:p>
    <w:p>
      <w:r>
        <w:rPr>
          <w:b w:val="0"/>
          <w:i w:val="0"/>
        </w:rPr>
        <w:t>The following features drove the model's salary predictions most strongly for midfielders specifically: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  <w:shd w:fill="2E74B5" w:color="FFFFF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Rank</w:t>
            </w:r>
          </w:p>
        </w:tc>
        <w:tc>
          <w:tcPr>
            <w:tcW w:type="dxa" w:w="2268"/>
            <w:shd w:fill="2E74B5" w:color="FFFFF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984"/>
            <w:shd w:fill="2E74B5" w:color="FFFFF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Importance</w:t>
            </w:r>
          </w:p>
        </w:tc>
        <w:tc>
          <w:tcPr>
            <w:tcW w:type="dxa" w:w="4819"/>
            <w:shd w:fill="2E74B5" w:color="FFFFF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Interpretation</w:t>
            </w:r>
          </w:p>
        </w:tc>
      </w:tr>
      <w:tr>
        <w:tc>
          <w:tcPr>
            <w:tcW w:type="dxa" w:w="850"/>
            <w:shd w:fill="DEEAF1" w:val="clea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68"/>
            <w:shd w:fill="DEEAF1" w:val="clear"/>
          </w:tcPr>
          <w:p>
            <w:pPr>
              <w:jc w:val="center"/>
            </w:pPr>
            <w:r>
              <w:t>grade_value</w:t>
            </w:r>
          </w:p>
        </w:tc>
        <w:tc>
          <w:tcPr>
            <w:tcW w:type="dxa" w:w="1984"/>
            <w:shd w:fill="DEEAF1" w:val="clear"/>
          </w:tcPr>
          <w:p>
            <w:pPr>
              <w:jc w:val="center"/>
            </w:pPr>
            <w:r>
              <w:t>15.68%</w:t>
            </w:r>
          </w:p>
        </w:tc>
        <w:tc>
          <w:tcPr>
            <w:tcW w:type="dxa" w:w="4819"/>
            <w:shd w:fill="DEEAF1" w:val="clear"/>
          </w:tcPr>
          <w:p>
            <w:pPr>
              <w:jc w:val="center"/>
            </w:pPr>
            <w:r>
              <w:t>Market/performance rating — strongest salary signal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Targ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12.89%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t>Times targeted as pass recipient — central midfielders receive more</w:t>
            </w:r>
          </w:p>
        </w:tc>
      </w:tr>
      <w:tr>
        <w:tc>
          <w:tcPr>
            <w:tcW w:type="dxa" w:w="850"/>
            <w:shd w:fill="DEEAF1" w:val="clea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68"/>
            <w:shd w:fill="DEEAF1" w:val="clear"/>
          </w:tcPr>
          <w:p>
            <w:pPr>
              <w:jc w:val="center"/>
            </w:pPr>
            <w:r>
              <w:t>Pass_Att</w:t>
            </w:r>
          </w:p>
        </w:tc>
        <w:tc>
          <w:tcPr>
            <w:tcW w:type="dxa" w:w="1984"/>
            <w:shd w:fill="DEEAF1" w:val="clear"/>
          </w:tcPr>
          <w:p>
            <w:pPr>
              <w:jc w:val="center"/>
            </w:pPr>
            <w:r>
              <w:t>8.68%</w:t>
            </w:r>
          </w:p>
        </w:tc>
        <w:tc>
          <w:tcPr>
            <w:tcW w:type="dxa" w:w="4819"/>
            <w:shd w:fill="DEEAF1" w:val="clear"/>
          </w:tcPr>
          <w:p>
            <w:pPr>
              <w:jc w:val="center"/>
            </w:pPr>
            <w:r>
              <w:t>Volume of passing — correlates with role importance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Age_sq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8.41%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t>Non-linear age effect — peak earnings in late 20s</w:t>
            </w:r>
          </w:p>
        </w:tc>
      </w:tr>
      <w:tr>
        <w:tc>
          <w:tcPr>
            <w:tcW w:type="dxa" w:w="850"/>
            <w:shd w:fill="DEEAF1" w:val="clear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268"/>
            <w:shd w:fill="DEEAF1" w:val="clear"/>
          </w:tcPr>
          <w:p>
            <w:pPr>
              <w:jc w:val="center"/>
            </w:pPr>
            <w:r>
              <w:t>Current_Age</w:t>
            </w:r>
          </w:p>
        </w:tc>
        <w:tc>
          <w:tcPr>
            <w:tcW w:type="dxa" w:w="1984"/>
            <w:shd w:fill="DEEAF1" w:val="clear"/>
          </w:tcPr>
          <w:p>
            <w:pPr>
              <w:jc w:val="center"/>
            </w:pPr>
            <w:r>
              <w:t>6.42%</w:t>
            </w:r>
          </w:p>
        </w:tc>
        <w:tc>
          <w:tcPr>
            <w:tcW w:type="dxa" w:w="4819"/>
            <w:shd w:fill="DEEAF1" w:val="clear"/>
          </w:tcPr>
          <w:p>
            <w:pPr>
              <w:jc w:val="center"/>
            </w:pPr>
            <w:r>
              <w:t>Direct age effect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Carries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6.10%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t>Ball-carrying — progressive midfielders earn more</w:t>
            </w:r>
          </w:p>
        </w:tc>
      </w:tr>
      <w:tr>
        <w:tc>
          <w:tcPr>
            <w:tcW w:type="dxa" w:w="850"/>
            <w:shd w:fill="DEEAF1" w:val="clear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268"/>
            <w:shd w:fill="DEEAF1" w:val="clear"/>
          </w:tcPr>
          <w:p>
            <w:pPr>
              <w:jc w:val="center"/>
            </w:pPr>
            <w:r>
              <w:t>League_num</w:t>
            </w:r>
          </w:p>
        </w:tc>
        <w:tc>
          <w:tcPr>
            <w:tcW w:type="dxa" w:w="1984"/>
            <w:shd w:fill="DEEAF1" w:val="clear"/>
          </w:tcPr>
          <w:p>
            <w:pPr>
              <w:jc w:val="center"/>
            </w:pPr>
            <w:r>
              <w:t>5.44%</w:t>
            </w:r>
          </w:p>
        </w:tc>
        <w:tc>
          <w:tcPr>
            <w:tcW w:type="dxa" w:w="4819"/>
            <w:shd w:fill="DEEAF1" w:val="clear"/>
          </w:tcPr>
          <w:p>
            <w:pPr>
              <w:jc w:val="center"/>
            </w:pPr>
            <w:r>
              <w:t>Top leagues pay significantly higher wages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Pass_Att_p90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3.42%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t>Per-90 passing — normalises for playing time</w:t>
            </w:r>
          </w:p>
        </w:tc>
      </w:tr>
      <w:tr>
        <w:tc>
          <w:tcPr>
            <w:tcW w:type="dxa" w:w="850"/>
            <w:shd w:fill="DEEAF1" w:val="clear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268"/>
            <w:shd w:fill="DEEAF1" w:val="clear"/>
          </w:tcPr>
          <w:p>
            <w:pPr>
              <w:jc w:val="center"/>
            </w:pPr>
            <w:r>
              <w:t>Int_p90</w:t>
            </w:r>
          </w:p>
        </w:tc>
        <w:tc>
          <w:tcPr>
            <w:tcW w:type="dxa" w:w="1984"/>
            <w:shd w:fill="DEEAF1" w:val="clear"/>
          </w:tcPr>
          <w:p>
            <w:pPr>
              <w:jc w:val="center"/>
            </w:pPr>
            <w:r>
              <w:t>3.28%</w:t>
            </w:r>
          </w:p>
        </w:tc>
        <w:tc>
          <w:tcPr>
            <w:tcW w:type="dxa" w:w="4819"/>
            <w:shd w:fill="DEEAF1" w:val="clear"/>
          </w:tcPr>
          <w:p>
            <w:pPr>
              <w:jc w:val="center"/>
            </w:pPr>
            <w:r>
              <w:t>Interceptions per 90 — defensive midfield contribution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Carries_p90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3.13%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t>Ball-carrying per 90</w:t>
            </w:r>
          </w:p>
        </w:tc>
      </w:tr>
    </w:tbl>
    <w:p/>
    <w:p>
      <w:pPr>
        <w:pStyle w:val="Heading1"/>
      </w:pPr>
      <w:r>
        <w:rPr>
          <w:color w:val="1F497D"/>
        </w:rPr>
        <w:t>5. Conclusions</w:t>
      </w:r>
    </w:p>
    <w:p>
      <w:pPr>
        <w:pStyle w:val="Heading2"/>
      </w:pPr>
      <w:r>
        <w:rPr>
          <w:color w:val="2E74B5"/>
        </w:rPr>
        <w:t>5.1 Model Performance</w:t>
      </w:r>
    </w:p>
    <w:p>
      <w:r>
        <w:rPr>
          <w:b w:val="0"/>
          <w:i w:val="0"/>
        </w:rPr>
        <w:t>The Baseline Random Forest trained exclusively on midfielders achieves an R² of 0.53 and an MAE of £26,637/week on the held-out 2020-21 season. This represents a meaningful but moderate predictive capability — the model captures over half of salary variance but leaves significant unexplained variation, consistent with the inherently noisy nature of salary determination in professional football.</w:t>
      </w:r>
    </w:p>
    <w:p>
      <w:pPr>
        <w:pStyle w:val="Heading2"/>
      </w:pPr>
      <w:r>
        <w:rPr>
          <w:color w:val="2E74B5"/>
        </w:rPr>
        <w:t>5.2 Position-Specific vs Full Model</w:t>
      </w:r>
    </w:p>
    <w:p>
      <w:r>
        <w:rPr>
          <w:b w:val="0"/>
          <w:i w:val="0"/>
        </w:rPr>
        <w:t>Training on midfielders alone produces a 7% reduction in MAE and a 25% reduction in RMSE compared to the all-position model. The improvement in RMSE is particularly significant: the midfielder-specific model avoids the large errors the full model made when midfielder salary patterns were conflated with those of forwards and defenders. This validates the hypothesis that position-specific models better capture the unique salary drivers for each role.</w:t>
      </w:r>
    </w:p>
    <w:p>
      <w:pPr>
        <w:pStyle w:val="Heading2"/>
      </w:pPr>
      <w:r>
        <w:rPr>
          <w:color w:val="2E74B5"/>
        </w:rPr>
        <w:t>5.3 Market Inefficiencies Identified</w:t>
      </w:r>
    </w:p>
    <w:p>
      <w:r>
        <w:rPr>
          <w:b w:val="0"/>
          <w:i w:val="0"/>
        </w:rPr>
        <w:t>The model identifies 154 undervalued midfielders (38.1% of the test set), suggesting widespread market underpricing of midfielder performance across European football in 2020-21. The strongest cases — Marcos Llorente, Benjamin Andre, Leroy Sane — all show gaps exceeding £120,000/week between estimated and actual salary. Notably, Marcos Llorente subsequently signed a new contract in 2022 at approximately £130,000/week, validating the model's undervaluation signal.</w:t>
      </w:r>
    </w:p>
    <w:p>
      <w:r>
        <w:rPr>
          <w:b w:val="0"/>
          <w:i w:val="0"/>
        </w:rPr>
        <w:t>On the overvaluation side, Paul Pogba (−£256,551/week) and Georginio Wijnaldum (−£214,802/week) represent the most extreme cases where reputation and commercial value have decoupled salary from statistical contribution.</w:t>
      </w:r>
    </w:p>
    <w:p>
      <w:pPr>
        <w:pStyle w:val="Heading2"/>
      </w:pPr>
      <w:r>
        <w:rPr>
          <w:color w:val="2E74B5"/>
        </w:rPr>
        <w:t>5.4 Key Salary Drivers for Midfielders</w:t>
      </w:r>
    </w:p>
    <w:p>
      <w:r>
        <w:rPr>
          <w:b w:val="0"/>
          <w:i w:val="0"/>
        </w:rPr>
        <w:t>For midfielders specifically, the most important salary predictors are grade_value (market rating), Targ (pass receipt volume), and Pass_Att (passing volume). This reflects the midfielder role: players who are heavily involved in the game, receive the ball frequently, and carry it forward command higher wages. Defensive metrics (Int_p90) also feature, confirming that box-to-box midfielders who contribute in both phases earn a premium over purely offensive or purely defensive specialists.</w:t>
      </w:r>
    </w:p>
    <w:p>
      <w:pPr>
        <w:pStyle w:val="Heading2"/>
      </w:pPr>
      <w:r>
        <w:rPr>
          <w:color w:val="2E74B5"/>
        </w:rPr>
        <w:t>5.5 Limitations</w:t>
      </w:r>
    </w:p>
    <w:p>
      <w:r>
        <w:rPr>
          <w:b w:val="0"/>
          <w:i w:val="0"/>
        </w:rPr>
        <w:t>The following limitations apply to this analysis:</w:t>
      </w:r>
    </w:p>
    <w:p>
      <w:pPr>
        <w:pStyle w:val="ListBullet"/>
      </w:pPr>
      <w:r>
        <w:t>The model was trained on three seasons only (2018-2021). Salary market dynamics change over time and the model may not reflect current valuations.</w:t>
      </w:r>
    </w:p>
    <w:p>
      <w:pPr>
        <w:pStyle w:val="ListBullet"/>
      </w:pPr>
      <w:r>
        <w:t>grade_value is an externally sourced rating whose calculation is undocumented in the dataset. If it already incorporates salary information, this creates circularity in the model.</w:t>
      </w:r>
    </w:p>
    <w:p>
      <w:pPr>
        <w:pStyle w:val="ListBullet"/>
      </w:pPr>
      <w:r>
        <w:t>The model treats all midfielders as a single group (POS=2). Sub-position differences (defensive mid vs. attacking mid vs. box-to-box) are not explicitly modelled.</w:t>
      </w:r>
    </w:p>
    <w:p>
      <w:pPr>
        <w:pStyle w:val="ListBullet"/>
      </w:pPr>
      <w:r>
        <w:t>Salaries across leagues may be in different currencies without explicit conversion, introducing noise into the target variable.</w:t>
      </w:r>
    </w:p>
    <w:p>
      <w:pPr>
        <w:pStyle w:val="ListBullet"/>
      </w:pPr>
      <w:r>
        <w:t>Non-statistical salary drivers — agent leverage, commercial value, injury history, squad role negotiations — are absent from the feature set and account for much of the residual error.</w:t>
      </w:r>
    </w:p>
    <w:p>
      <w:pPr>
        <w:pStyle w:val="Heading2"/>
      </w:pPr>
      <w:r>
        <w:rPr>
          <w:color w:val="2E74B5"/>
        </w:rPr>
        <w:t>5.6 Recommendations</w:t>
      </w:r>
    </w:p>
    <w:p>
      <w:r>
        <w:rPr>
          <w:b w:val="0"/>
          <w:i w:val="0"/>
        </w:rPr>
        <w:t>Based on the findings, the following next steps are recommended:</w:t>
      </w:r>
    </w:p>
    <w:p>
      <w:pPr>
        <w:pStyle w:val="ListBullet"/>
      </w:pPr>
      <w:r>
        <w:t>Develop separate sub-position models (defensive MF, central MF, attacking MF) to further reduce positional heterogeneity.</w:t>
      </w:r>
    </w:p>
    <w:p>
      <w:pPr>
        <w:pStyle w:val="ListBullet"/>
      </w:pPr>
      <w:r>
        <w:t>Incorporate transfer fee data as a feature — clubs that paid large fees tend to pay higher wages to justify the investment.</w:t>
      </w:r>
    </w:p>
    <w:p>
      <w:pPr>
        <w:pStyle w:val="ListBullet"/>
      </w:pPr>
      <w:r>
        <w:t>Validate grade_value provenance and, if it is a circular feature, replace it with a constructed performance index from the available stats.</w:t>
      </w:r>
    </w:p>
    <w:p>
      <w:pPr>
        <w:pStyle w:val="ListBullet"/>
      </w:pPr>
      <w:r>
        <w:t>Extend the dataset to include more recent seasons (2021-22 onwards) to capture post-COVID salary market dynamics.</w:t>
      </w:r>
    </w:p>
    <w:p>
      <w:pPr>
        <w:pStyle w:val="ListBullet"/>
      </w:pPr>
      <w:r>
        <w:t>Apply the same position-specific approach to defenders and forwards to enable a full cross-positional comparison.</w:t>
      </w:r>
    </w:p>
    <w:p>
      <w:pPr>
        <w:pStyle w:val="Heading1"/>
      </w:pPr>
      <w:r>
        <w:rPr>
          <w:color w:val="1F497D"/>
        </w:rPr>
        <w:t>6. Appendix — Full Variable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2E74B5" w:color="FFFFF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Variable</w:t>
            </w:r>
          </w:p>
        </w:tc>
        <w:tc>
          <w:tcPr>
            <w:tcW w:type="dxa" w:w="1701"/>
            <w:shd w:fill="2E74B5" w:color="FFFFF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5669"/>
            <w:shd w:fill="2E74B5" w:color="FFFFF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268"/>
            <w:shd w:fill="DEEAF1" w:val="clear"/>
          </w:tcPr>
          <w:p>
            <w:pPr>
              <w:jc w:val="center"/>
            </w:pPr>
            <w:r>
              <w:t>Player</w:t>
            </w:r>
          </w:p>
        </w:tc>
        <w:tc>
          <w:tcPr>
            <w:tcW w:type="dxa" w:w="1701"/>
            <w:shd w:fill="DEEAF1" w:val="clear"/>
          </w:tcPr>
          <w:p>
            <w:pPr>
              <w:jc w:val="center"/>
            </w:pPr>
            <w:r>
              <w:t>String</w:t>
            </w:r>
          </w:p>
        </w:tc>
        <w:tc>
          <w:tcPr>
            <w:tcW w:type="dxa" w:w="5669"/>
            <w:shd w:fill="DEEAF1" w:val="clear"/>
          </w:tcPr>
          <w:p>
            <w:pPr>
              <w:jc w:val="center"/>
            </w:pPr>
            <w:r>
              <w:t>Player name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Current_Age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Integer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t>Age of the player in that season</w:t>
            </w:r>
          </w:p>
        </w:tc>
      </w:tr>
      <w:tr>
        <w:tc>
          <w:tcPr>
            <w:tcW w:type="dxa" w:w="2268"/>
            <w:shd w:fill="DEEAF1" w:val="clear"/>
          </w:tcPr>
          <w:p>
            <w:pPr>
              <w:jc w:val="center"/>
            </w:pPr>
            <w:r>
              <w:t>Age_sq</w:t>
            </w:r>
          </w:p>
        </w:tc>
        <w:tc>
          <w:tcPr>
            <w:tcW w:type="dxa" w:w="1701"/>
            <w:shd w:fill="DEEAF1" w:val="clear"/>
          </w:tcPr>
          <w:p>
            <w:pPr>
              <w:jc w:val="center"/>
            </w:pPr>
            <w:r>
              <w:t>Float</w:t>
            </w:r>
          </w:p>
        </w:tc>
        <w:tc>
          <w:tcPr>
            <w:tcW w:type="dxa" w:w="5669"/>
            <w:shd w:fill="DEEAF1" w:val="clear"/>
          </w:tcPr>
          <w:p>
            <w:pPr>
              <w:jc w:val="center"/>
            </w:pPr>
            <w:r>
              <w:t>Age squared — captures non-linear career arc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POS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Integer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t>1=Defender, 2=Midfielder, 3=Forward</w:t>
            </w:r>
          </w:p>
        </w:tc>
      </w:tr>
      <w:tr>
        <w:tc>
          <w:tcPr>
            <w:tcW w:type="dxa" w:w="2268"/>
            <w:shd w:fill="DEEAF1" w:val="clear"/>
          </w:tcPr>
          <w:p>
            <w:pPr>
              <w:jc w:val="center"/>
            </w:pPr>
            <w:r>
              <w:t>grade_value</w:t>
            </w:r>
          </w:p>
        </w:tc>
        <w:tc>
          <w:tcPr>
            <w:tcW w:type="dxa" w:w="1701"/>
            <w:shd w:fill="DEEAF1" w:val="clear"/>
          </w:tcPr>
          <w:p>
            <w:pPr>
              <w:jc w:val="center"/>
            </w:pPr>
            <w:r>
              <w:t>Float</w:t>
            </w:r>
          </w:p>
        </w:tc>
        <w:tc>
          <w:tcPr>
            <w:tcW w:type="dxa" w:w="5669"/>
            <w:shd w:fill="DEEAF1" w:val="clear"/>
          </w:tcPr>
          <w:p>
            <w:pPr>
              <w:jc w:val="center"/>
            </w:pPr>
            <w:r>
              <w:t>External market/performance rating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Starts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Integer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t>Games started</w:t>
            </w:r>
          </w:p>
        </w:tc>
      </w:tr>
      <w:tr>
        <w:tc>
          <w:tcPr>
            <w:tcW w:type="dxa" w:w="2268"/>
            <w:shd w:fill="DEEAF1" w:val="clear"/>
          </w:tcPr>
          <w:p>
            <w:pPr>
              <w:jc w:val="center"/>
            </w:pPr>
            <w:r>
              <w:t>Min</w:t>
            </w:r>
          </w:p>
        </w:tc>
        <w:tc>
          <w:tcPr>
            <w:tcW w:type="dxa" w:w="1701"/>
            <w:shd w:fill="DEEAF1" w:val="clear"/>
          </w:tcPr>
          <w:p>
            <w:pPr>
              <w:jc w:val="center"/>
            </w:pPr>
            <w:r>
              <w:t>Float</w:t>
            </w:r>
          </w:p>
        </w:tc>
        <w:tc>
          <w:tcPr>
            <w:tcW w:type="dxa" w:w="5669"/>
            <w:shd w:fill="DEEAF1" w:val="clear"/>
          </w:tcPr>
          <w:p>
            <w:pPr>
              <w:jc w:val="center"/>
            </w:pPr>
            <w:r>
              <w:t>Minutes played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Min_share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Float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t>Minutes as share of maximum in dataset</w:t>
            </w:r>
          </w:p>
        </w:tc>
      </w:tr>
      <w:tr>
        <w:tc>
          <w:tcPr>
            <w:tcW w:type="dxa" w:w="2268"/>
            <w:shd w:fill="DEEAF1" w:val="clear"/>
          </w:tcPr>
          <w:p>
            <w:pPr>
              <w:jc w:val="center"/>
            </w:pPr>
            <w:r>
              <w:t>Gls</w:t>
            </w:r>
          </w:p>
        </w:tc>
        <w:tc>
          <w:tcPr>
            <w:tcW w:type="dxa" w:w="1701"/>
            <w:shd w:fill="DEEAF1" w:val="clear"/>
          </w:tcPr>
          <w:p>
            <w:pPr>
              <w:jc w:val="center"/>
            </w:pPr>
            <w:r>
              <w:t>Float</w:t>
            </w:r>
          </w:p>
        </w:tc>
        <w:tc>
          <w:tcPr>
            <w:tcW w:type="dxa" w:w="5669"/>
            <w:shd w:fill="DEEAF1" w:val="clear"/>
          </w:tcPr>
          <w:p>
            <w:pPr>
              <w:jc w:val="center"/>
            </w:pPr>
            <w:r>
              <w:t>Goals scored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Ast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Float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t>Assists</w:t>
            </w:r>
          </w:p>
        </w:tc>
      </w:tr>
      <w:tr>
        <w:tc>
          <w:tcPr>
            <w:tcW w:type="dxa" w:w="2268"/>
            <w:shd w:fill="DEEAF1" w:val="clear"/>
          </w:tcPr>
          <w:p>
            <w:pPr>
              <w:jc w:val="center"/>
            </w:pPr>
            <w:r>
              <w:t>CrdY / CrdR</w:t>
            </w:r>
          </w:p>
        </w:tc>
        <w:tc>
          <w:tcPr>
            <w:tcW w:type="dxa" w:w="1701"/>
            <w:shd w:fill="DEEAF1" w:val="clear"/>
          </w:tcPr>
          <w:p>
            <w:pPr>
              <w:jc w:val="center"/>
            </w:pPr>
            <w:r>
              <w:t>Float</w:t>
            </w:r>
          </w:p>
        </w:tc>
        <w:tc>
          <w:tcPr>
            <w:tcW w:type="dxa" w:w="5669"/>
            <w:shd w:fill="DEEAF1" w:val="clear"/>
          </w:tcPr>
          <w:p>
            <w:pPr>
              <w:jc w:val="center"/>
            </w:pPr>
            <w:r>
              <w:t>Yellow / Red cards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SoT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Float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t>Shots on target</w:t>
            </w:r>
          </w:p>
        </w:tc>
      </w:tr>
      <w:tr>
        <w:tc>
          <w:tcPr>
            <w:tcW w:type="dxa" w:w="2268"/>
            <w:shd w:fill="DEEAF1" w:val="clear"/>
          </w:tcPr>
          <w:p>
            <w:pPr>
              <w:jc w:val="center"/>
            </w:pPr>
            <w:r>
              <w:t>G_Sh</w:t>
            </w:r>
          </w:p>
        </w:tc>
        <w:tc>
          <w:tcPr>
            <w:tcW w:type="dxa" w:w="1701"/>
            <w:shd w:fill="DEEAF1" w:val="clear"/>
          </w:tcPr>
          <w:p>
            <w:pPr>
              <w:jc w:val="center"/>
            </w:pPr>
            <w:r>
              <w:t>Float</w:t>
            </w:r>
          </w:p>
        </w:tc>
        <w:tc>
          <w:tcPr>
            <w:tcW w:type="dxa" w:w="5669"/>
            <w:shd w:fill="DEEAF1" w:val="clear"/>
          </w:tcPr>
          <w:p>
            <w:pPr>
              <w:jc w:val="center"/>
            </w:pPr>
            <w:r>
              <w:t>Goals per shot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Pass_Att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Float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t>Pass attempts</w:t>
            </w:r>
          </w:p>
        </w:tc>
      </w:tr>
      <w:tr>
        <w:tc>
          <w:tcPr>
            <w:tcW w:type="dxa" w:w="2268"/>
            <w:shd w:fill="DEEAF1" w:val="clear"/>
          </w:tcPr>
          <w:p>
            <w:pPr>
              <w:jc w:val="center"/>
            </w:pPr>
            <w:r>
              <w:t>Cmp_per</w:t>
            </w:r>
          </w:p>
        </w:tc>
        <w:tc>
          <w:tcPr>
            <w:tcW w:type="dxa" w:w="1701"/>
            <w:shd w:fill="DEEAF1" w:val="clear"/>
          </w:tcPr>
          <w:p>
            <w:pPr>
              <w:jc w:val="center"/>
            </w:pPr>
            <w:r>
              <w:t>Float</w:t>
            </w:r>
          </w:p>
        </w:tc>
        <w:tc>
          <w:tcPr>
            <w:tcW w:type="dxa" w:w="5669"/>
            <w:shd w:fill="DEEAF1" w:val="clear"/>
          </w:tcPr>
          <w:p>
            <w:pPr>
              <w:jc w:val="center"/>
            </w:pPr>
            <w:r>
              <w:t>Pass completion percentage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TklW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Float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t>Tackles won</w:t>
            </w:r>
          </w:p>
        </w:tc>
      </w:tr>
      <w:tr>
        <w:tc>
          <w:tcPr>
            <w:tcW w:type="dxa" w:w="2268"/>
            <w:shd w:fill="DEEAF1" w:val="clear"/>
          </w:tcPr>
          <w:p>
            <w:pPr>
              <w:jc w:val="center"/>
            </w:pPr>
            <w:r>
              <w:t>Blocks</w:t>
            </w:r>
          </w:p>
        </w:tc>
        <w:tc>
          <w:tcPr>
            <w:tcW w:type="dxa" w:w="1701"/>
            <w:shd w:fill="DEEAF1" w:val="clear"/>
          </w:tcPr>
          <w:p>
            <w:pPr>
              <w:jc w:val="center"/>
            </w:pPr>
            <w:r>
              <w:t>Float</w:t>
            </w:r>
          </w:p>
        </w:tc>
        <w:tc>
          <w:tcPr>
            <w:tcW w:type="dxa" w:w="5669"/>
            <w:shd w:fill="DEEAF1" w:val="clear"/>
          </w:tcPr>
          <w:p>
            <w:pPr>
              <w:jc w:val="center"/>
            </w:pPr>
            <w:r>
              <w:t>Shots or passes blocked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Int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Float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t>Interceptions</w:t>
            </w:r>
          </w:p>
        </w:tc>
      </w:tr>
      <w:tr>
        <w:tc>
          <w:tcPr>
            <w:tcW w:type="dxa" w:w="2268"/>
            <w:shd w:fill="DEEAF1" w:val="clear"/>
          </w:tcPr>
          <w:p>
            <w:pPr>
              <w:jc w:val="center"/>
            </w:pPr>
            <w:r>
              <w:t>Clr</w:t>
            </w:r>
          </w:p>
        </w:tc>
        <w:tc>
          <w:tcPr>
            <w:tcW w:type="dxa" w:w="1701"/>
            <w:shd w:fill="DEEAF1" w:val="clear"/>
          </w:tcPr>
          <w:p>
            <w:pPr>
              <w:jc w:val="center"/>
            </w:pPr>
            <w:r>
              <w:t>Float</w:t>
            </w:r>
          </w:p>
        </w:tc>
        <w:tc>
          <w:tcPr>
            <w:tcW w:type="dxa" w:w="5669"/>
            <w:shd w:fill="DEEAF1" w:val="clear"/>
          </w:tcPr>
          <w:p>
            <w:pPr>
              <w:jc w:val="center"/>
            </w:pPr>
            <w:r>
              <w:t>Clearances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Dribble_Att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Float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t>Dribble attempts</w:t>
            </w:r>
          </w:p>
        </w:tc>
      </w:tr>
      <w:tr>
        <w:tc>
          <w:tcPr>
            <w:tcW w:type="dxa" w:w="2268"/>
            <w:shd w:fill="DEEAF1" w:val="clear"/>
          </w:tcPr>
          <w:p>
            <w:pPr>
              <w:jc w:val="center"/>
            </w:pPr>
            <w:r>
              <w:t>Dribble_Succ_per</w:t>
            </w:r>
          </w:p>
        </w:tc>
        <w:tc>
          <w:tcPr>
            <w:tcW w:type="dxa" w:w="1701"/>
            <w:shd w:fill="DEEAF1" w:val="clear"/>
          </w:tcPr>
          <w:p>
            <w:pPr>
              <w:jc w:val="center"/>
            </w:pPr>
            <w:r>
              <w:t>Float</w:t>
            </w:r>
          </w:p>
        </w:tc>
        <w:tc>
          <w:tcPr>
            <w:tcW w:type="dxa" w:w="5669"/>
            <w:shd w:fill="DEEAF1" w:val="clear"/>
          </w:tcPr>
          <w:p>
            <w:pPr>
              <w:jc w:val="center"/>
            </w:pPr>
            <w:r>
              <w:t>Dribble success percentage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Carries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Float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t>Times ball was carried</w:t>
            </w:r>
          </w:p>
        </w:tc>
      </w:tr>
      <w:tr>
        <w:tc>
          <w:tcPr>
            <w:tcW w:type="dxa" w:w="2268"/>
            <w:shd w:fill="DEEAF1" w:val="clear"/>
          </w:tcPr>
          <w:p>
            <w:pPr>
              <w:jc w:val="center"/>
            </w:pPr>
            <w:r>
              <w:t>Targ</w:t>
            </w:r>
          </w:p>
        </w:tc>
        <w:tc>
          <w:tcPr>
            <w:tcW w:type="dxa" w:w="1701"/>
            <w:shd w:fill="DEEAF1" w:val="clear"/>
          </w:tcPr>
          <w:p>
            <w:pPr>
              <w:jc w:val="center"/>
            </w:pPr>
            <w:r>
              <w:t>Float</w:t>
            </w:r>
          </w:p>
        </w:tc>
        <w:tc>
          <w:tcPr>
            <w:tcW w:type="dxa" w:w="5669"/>
            <w:shd w:fill="DEEAF1" w:val="clear"/>
          </w:tcPr>
          <w:p>
            <w:pPr>
              <w:jc w:val="center"/>
            </w:pPr>
            <w:r>
              <w:t>Times targeted as pass recipient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Rec_per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Float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t>Ball reception success percentage</w:t>
            </w:r>
          </w:p>
        </w:tc>
      </w:tr>
      <w:tr>
        <w:tc>
          <w:tcPr>
            <w:tcW w:type="dxa" w:w="2268"/>
            <w:shd w:fill="DEEAF1" w:val="clear"/>
          </w:tcPr>
          <w:p>
            <w:pPr>
              <w:jc w:val="center"/>
            </w:pPr>
            <w:r>
              <w:t>League_num</w:t>
            </w:r>
          </w:p>
        </w:tc>
        <w:tc>
          <w:tcPr>
            <w:tcW w:type="dxa" w:w="1701"/>
            <w:shd w:fill="DEEAF1" w:val="clear"/>
          </w:tcPr>
          <w:p>
            <w:pPr>
              <w:jc w:val="center"/>
            </w:pPr>
            <w:r>
              <w:t>Integer</w:t>
            </w:r>
          </w:p>
        </w:tc>
        <w:tc>
          <w:tcPr>
            <w:tcW w:type="dxa" w:w="5669"/>
            <w:shd w:fill="DEEAF1" w:val="clear"/>
          </w:tcPr>
          <w:p>
            <w:pPr>
              <w:jc w:val="center"/>
            </w:pPr>
            <w:r>
              <w:t>League encoded as number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Club_num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Integer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t>Club encoded as number</w:t>
            </w:r>
          </w:p>
        </w:tc>
      </w:tr>
      <w:tr>
        <w:tc>
          <w:tcPr>
            <w:tcW w:type="dxa" w:w="2268"/>
            <w:shd w:fill="DEEAF1" w:val="clear"/>
          </w:tcPr>
          <w:p>
            <w:pPr>
              <w:jc w:val="center"/>
            </w:pPr>
            <w:r>
              <w:t>Contract_Years</w:t>
            </w:r>
          </w:p>
        </w:tc>
        <w:tc>
          <w:tcPr>
            <w:tcW w:type="dxa" w:w="1701"/>
            <w:shd w:fill="DEEAF1" w:val="clear"/>
          </w:tcPr>
          <w:p>
            <w:pPr>
              <w:jc w:val="center"/>
            </w:pPr>
            <w:r>
              <w:t>Float</w:t>
            </w:r>
          </w:p>
        </w:tc>
        <w:tc>
          <w:tcPr>
            <w:tcW w:type="dxa" w:w="5669"/>
            <w:shd w:fill="DEEAF1" w:val="clear"/>
          </w:tcPr>
          <w:p>
            <w:pPr>
              <w:jc w:val="center"/>
            </w:pPr>
            <w:r>
              <w:t>Contract length in years (parsed from LENGTH)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*_p90 features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Float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t>Per-90-minute versions of key counting stats</w:t>
            </w:r>
          </w:p>
        </w:tc>
      </w:tr>
      <w:tr>
        <w:tc>
          <w:tcPr>
            <w:tcW w:type="dxa" w:w="2268"/>
            <w:shd w:fill="DEEAF1" w:val="clear"/>
          </w:tcPr>
          <w:p>
            <w:pPr>
              <w:jc w:val="center"/>
            </w:pPr>
            <w:r>
              <w:t>WEEKLY_GROSS</w:t>
            </w:r>
          </w:p>
        </w:tc>
        <w:tc>
          <w:tcPr>
            <w:tcW w:type="dxa" w:w="1701"/>
            <w:shd w:fill="DEEAF1" w:val="clear"/>
          </w:tcPr>
          <w:p>
            <w:pPr>
              <w:jc w:val="center"/>
            </w:pPr>
            <w:r>
              <w:t>Float</w:t>
            </w:r>
          </w:p>
        </w:tc>
        <w:tc>
          <w:tcPr>
            <w:tcW w:type="dxa" w:w="5669"/>
            <w:shd w:fill="DEEAF1" w:val="clear"/>
          </w:tcPr>
          <w:p>
            <w:pPr>
              <w:jc w:val="center"/>
            </w:pPr>
            <w:r>
              <w:t>Target variable — actual weekly gross salary (£)</w:t>
            </w:r>
          </w:p>
        </w:tc>
      </w:tr>
    </w:tbl>
    <w:p/>
    <w:p>
      <w:pPr>
        <w:jc w:val="center"/>
      </w:pPr>
      <w:r>
        <w:rPr>
          <w:i/>
          <w:color w:val="7F7F7F"/>
        </w:rPr>
        <w:t>— End of Report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