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Cleaning Services Agreement</w:t>
      </w:r>
    </w:p>
    <w:p>
      <w:r>
        <w:t xml:space="preserve">This agreement is between the Company and Cobalt Facilities Ltd (the Supplier). It was signed by both parties on 14 February 2026.</w:t>
      </w:r>
    </w:p>
    <w:p>
      <w:pPr>
        <w:pStyle w:val="Heading1"/>
      </w:pPr>
      <w:r>
        <w:t xml:space="preserve">1. Services</w:t>
      </w:r>
    </w:p>
    <w:p>
      <w:r>
        <w:t xml:space="preserve">The Supplier cleans all office floors every working day between 18:00 and 22:00, including kitchens and meeting rooms.</w:t>
      </w:r>
    </w:p>
    <w:p>
      <w:r>
        <w:t xml:space="preserve">Deep cleaning of carpets and windows takes place once every three months, on a weekend agreed with the Company.</w:t>
      </w:r>
    </w:p>
    <w:p>
      <w:pPr>
        <w:pStyle w:val="Heading1"/>
      </w:pPr>
      <w:r>
        <w:t xml:space="preserve">2. Term</w:t>
      </w:r>
    </w:p>
    <w:p>
      <w:r>
        <w:t xml:space="preserve">The agreement starts on 1 March 2026 and runs for 24 months. It then renews automatically for 12 months at a time unless either party gives notice under clause 5.</w:t>
      </w:r>
    </w:p>
    <w:p>
      <w:pPr>
        <w:pStyle w:val="Heading1"/>
      </w:pPr>
      <w:r>
        <w:t xml:space="preserve">3. Fees and payment</w:t>
      </w:r>
    </w:p>
    <w:p>
      <w:r>
        <w:t xml:space="preserve">The Company pays the Supplier EUR 4,200 per month. The Supplier invoices at the end of each month, and the Company pays within 30 days of receiving the invoice.</w:t>
      </w:r>
    </w:p>
    <w:p>
      <w:r>
        <w:t xml:space="preserve">Fees can rise once a year, by no more than 3 percent, with 60 days' written notice.</w:t>
      </w:r>
    </w:p>
    <w:p>
      <w:pPr>
        <w:pStyle w:val="Heading1"/>
      </w:pPr>
      <w:r>
        <w:t xml:space="preserve">4. Service levels</w:t>
      </w:r>
    </w:p>
    <w:p>
      <w:r>
        <w:t xml:space="preserve">Any cleaning problem the Company reports must be fixed by the end of the next working day.</w:t>
      </w:r>
    </w:p>
    <w:p>
      <w:r>
        <w:t xml:space="preserve">If the Supplier misses this three times in one month, that month's fee is reduced by 10 percent.</w:t>
      </w:r>
    </w:p>
    <w:p>
      <w:pPr>
        <w:pStyle w:val="Heading1"/>
      </w:pPr>
      <w:r>
        <w:t xml:space="preserve">5. Termination</w:t>
      </w:r>
    </w:p>
    <w:p>
      <w:r>
        <w:t xml:space="preserve">Either party can end the agreement by giving 90 days' written notice.</w:t>
      </w:r>
    </w:p>
    <w:p>
      <w:r>
        <w:t xml:space="preserve">Either party can end it immediately if the other seriously breaches the agreement and does not fix the breach within 14 days of being told about it.</w:t>
      </w:r>
    </w:p>
    <w:p>
      <w:pPr>
        <w:pStyle w:val="Heading1"/>
      </w:pPr>
      <w:r>
        <w:t xml:space="preserve">6. Liability</w:t>
      </w:r>
    </w:p>
    <w:p>
      <w:r>
        <w:t xml:space="preserve">Each party's total liability under this agreement is capped at the fees paid in the previous 12 months.</w:t>
      </w:r>
    </w:p>
    <w:p>
      <w:r>
        <w:t xml:space="preserve">Signed for the Company: Head of Facilities. Signed for the Supplier: Managing Director.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/>
    </w:pPr>
    <w:rPr>
      <w:sz w:val="22"/>
    </w:rPr>
  </w:style>
  <w:style w:type="paragraph" w:styleId="Title">
    <w:name w:val="Title"/>
    <w:basedOn w:val="Normal"/>
    <w:pPr>
      <w:spacing w:before="240" w:after="120"/>
    </w:pPr>
    <w:rPr>
      <w:b/>
      <w:sz w:val="40"/>
    </w:rPr>
  </w:style>
  <w:style w:type="paragraph" w:styleId="Heading1">
    <w:name w:val="heading 1"/>
    <w:basedOn w:val="Normal"/>
    <w:pPr>
      <w:spacing w:before="240" w:after="12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