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sz w:val="36"/>
          <w:szCs w:val="36"/>
        </w:rPr>
        <w:t xml:space="preserve">TNN 2026 — Activity 1 Affinity Exercise</w:t>
      </w:r>
    </w:p>
    <w:p>
      <w:pPr>
        <w:spacing w:after="80"/>
      </w:pPr>
      <w:r>
        <w:rPr>
          <w:i/>
          <w:iCs/>
          <w:color w:val="444444"/>
          <w:sz w:val="26"/>
          <w:szCs w:val="26"/>
        </w:rPr>
        <w:t xml:space="preserve">Bottom-up groupings from the sticky corpus</w:t>
      </w:r>
    </w:p>
    <w:p>
      <w:pPr>
        <w:spacing w:after="280"/>
      </w:pPr>
      <w:r>
        <w:rPr>
          <w:color w:val="666666"/>
        </w:rPr>
        <w:t xml:space="preserve">Internal — George + Sarah
</w:t>
      </w:r>
      <w:r>
        <w:rPr>
          <w:color w:val="666666"/>
        </w:rPr>
        <w:t xml:space="preserve">Drafted 27 May 2026</w:t>
      </w:r>
    </w:p>
    <w:p>
      <w:pPr>
        <w:pBdr>
          <w:bottom w:val="single" w:color="BBBBBB" w:sz="6" w:space="6"/>
        </w:pBdr>
        <w:spacing w:after="200" w:before="120"/>
      </w:pPr>
      <w:r>
        <w:t xml:space="preserve"/>
      </w:r>
    </w:p>
    <w:p>
      <w:pPr>
        <w:pStyle w:val="Heading1"/>
        <w:spacing w:after="200" w:before="360"/>
      </w:pPr>
      <w:r>
        <w:t xml:space="preserve">Method note</w:t>
      </w:r>
    </w:p>
    <w:p>
      <w:pPr>
        <w:spacing w:after="160" w:line="320"/>
      </w:pPr>
      <w:r>
        <w:t xml:space="preserve">This is an affinity exercise on the 141 stickies from Activity 1, done fresh without reference to the round-robin, the facilitator notes, or Sarah’s working synthesis. The point is to see what the sticky corpus organizes into on its own terms, before any of the other inputs shape the reading.</w:t>
      </w:r>
    </w:p>
    <w:p>
      <w:pPr>
        <w:spacing w:after="160" w:line="320"/>
      </w:pPr>
      <w:r>
        <w:t xml:space="preserve">In a proper affinity exercise, you cluster by what the stickies say to each other, not by what category they fit into. A category like “Infrastructure” is top-down — you decide the category and sort stickies into it. Affinity is bottom-up — you let stickies that resonate gather, then notice what the gathering is about. The names come last.</w:t>
      </w:r>
    </w:p>
    <w:p>
      <w:pPr>
        <w:spacing w:after="160" w:line="320"/>
      </w:pPr>
      <w:r>
        <w:t xml:space="preserve">One observation worth carrying through: short stickies tend to be category-words (Culture, Identity, Resources, Institutions). Long stickies are full thoughts. That matters because short stickies are easy to scatter into any group, but long ones do most of the actual signaling. Where this exercise hesitates, it is usually a short sticky that could go several places.</w:t>
      </w:r>
    </w:p>
    <w:p>
      <w:pPr>
        <w:spacing w:after="160" w:line="320"/>
      </w:pPr>
      <w:r>
        <w:t xml:space="preserve">The exercise produces eight groups plus a set of hard cases that resist clustering. Both are described below.</w:t>
      </w:r>
    </w:p>
    <w:p>
      <w:pPr>
        <w:pBdr>
          <w:bottom w:val="single" w:color="BBBBBB" w:sz="6" w:space="6"/>
        </w:pBdr>
        <w:spacing w:after="200" w:before="120"/>
      </w:pPr>
      <w:r>
        <w:t xml:space="preserve"/>
      </w:r>
    </w:p>
    <w:p>
      <w:pPr>
        <w:pStyle w:val="Heading1"/>
        <w:spacing w:after="200" w:before="360"/>
      </w:pPr>
      <w:r>
        <w:t xml:space="preserve">Eight groups</w:t>
      </w:r>
    </w:p>
    <w:p>
      <w:pPr>
        <w:pStyle w:val="Heading2"/>
        <w:spacing w:after="160" w:before="280"/>
      </w:pPr>
      <w:r>
        <w:t xml:space="preserve">Group 1 — Knowing and being recognized</w:t>
      </w:r>
    </w:p>
    <w:p>
      <w:pPr>
        <w:spacing w:after="160" w:line="320"/>
      </w:pPr>
      <w:r>
        <w:t xml:space="preserve">Roughly twenty-two stickies. The largest single group.</w:t>
      </w:r>
    </w:p>
    <w:p>
      <w:pPr>
        <w:spacing w:after="160" w:line="320"/>
      </w:pPr>
      <w:r>
        <w:t xml:space="preserve">People know each other’s names. Recognizable faces. Bankers knowing customers by name. Can identify each others’ pets. Smiles. Missing others who are away. Being curious about each other. Knowing at least some personal details. Familiar rhythms of daily life. Neighbors I know by name. Regular at the gym, coffee shop, pool. Being known. My family feeling like they belong. Familiarity.</w:t>
      </w:r>
    </w:p>
    <w:p>
      <w:pPr>
        <w:spacing w:after="160" w:line="320"/>
      </w:pPr>
      <w:r>
        <w:t xml:space="preserve">The unifying theme is legibility — you are known and you can know others. This is not about deep friendship. It is about being a recognized person in a recognized place.</w:t>
      </w:r>
    </w:p>
    <w:p>
      <w:pPr>
        <w:pStyle w:val="Heading2"/>
        <w:spacing w:after="160" w:before="280"/>
      </w:pPr>
      <w:r>
        <w:t xml:space="preserve">Group 2 — Showing up: care and obligation in practice</w:t>
      </w:r>
    </w:p>
    <w:p>
      <w:pPr>
        <w:spacing w:after="160" w:line="320"/>
      </w:pPr>
      <w:r>
        <w:t xml:space="preserve">Roughly fifteen stickies. Closely related to Group 1 but distinct.</w:t>
      </w:r>
    </w:p>
    <w:p>
      <w:pPr>
        <w:spacing w:after="160" w:line="320"/>
      </w:pPr>
      <w:r>
        <w:t xml:space="preserve">Showing up for each other. Looking out for each others’ homes and children. Demonstrating care for each other. Listening to each other. Willingness to ask for help or others’ opinions. Old and young visible and cared for. Kids can run from house to house. Having trust. Collective trust. The power to make collaborative and collective change together. Sharing tangible resources — tools, sugar. Sharing and inviting the use of your and others’ giftings. A culture of connecting strengths to local desires or needs (Aidan’s retirement party sticky). Jessica’s “fabric of care” sticky belongs here.</w:t>
      </w:r>
    </w:p>
    <w:p>
      <w:pPr>
        <w:spacing w:after="160" w:line="320"/>
      </w:pPr>
      <w:r>
        <w:t xml:space="preserve">Group 1 is recognition. Group 2 is action that follows from it. The shift from acquaintance to fabric (Jessica’s exact phrasing) is the boundary between them.</w:t>
      </w:r>
    </w:p>
    <w:p>
      <w:pPr>
        <w:spacing w:after="160" w:line="320"/>
      </w:pPr>
      <w:r>
        <w:rPr>
          <w:i/>
          <w:iCs/>
        </w:rPr>
        <w:t xml:space="preserve">Question to flag: </w:t>
      </w:r>
      <w:r>
        <w:rPr>
          <w:i/>
          <w:iCs/>
        </w:rPr>
        <w:t xml:space="preserve">Is the line between Group 1 and Group 2 real, or am I splitting too finely? If the cohort sees one group (“relationships”), they may be right. But there is a meaningful gradient from knowing to doing, and a network analysis would treat them as different edge types.</w:t>
      </w:r>
    </w:p>
    <w:p>
      <w:pPr>
        <w:pStyle w:val="Heading2"/>
        <w:spacing w:after="160" w:before="280"/>
      </w:pPr>
      <w:r>
        <w:t xml:space="preserve">Group 3 — Physical place and built form</w:t>
      </w:r>
    </w:p>
    <w:p>
      <w:pPr>
        <w:spacing w:after="160" w:line="320"/>
      </w:pPr>
      <w:r>
        <w:t xml:space="preserve">Roughly fourteen stickies.</w:t>
      </w:r>
    </w:p>
    <w:p>
      <w:pPr>
        <w:spacing w:after="160" w:line="320"/>
      </w:pPr>
      <w:r>
        <w:t xml:space="preserve">Sidewalks (Juli, David). Parks. Trails. Watershed: River, Creek, Coves, Mountain Ranges/Valleys. Roads. Public transit. Infrastructure: Built Environment. Public art. Gathering places — parks, pools, gyms, coffee shops. The Himalayan restaurant. Small park across the street. Shared public space. Shared roads. Boundaries like river, freeway, or anything else that takes time to traverse. Physical structures that group us — roads, highway, train tracks. Heavy thru traffic mixed with busy residential activity. Mass transit services or lack thereof. Foodstuffs Access.</w:t>
      </w:r>
    </w:p>
    <w:p>
      <w:pPr>
        <w:spacing w:after="160" w:line="320"/>
      </w:pPr>
      <w:r>
        <w:rPr>
          <w:i/>
          <w:iCs/>
        </w:rPr>
        <w:t xml:space="preserve">Sub-question worth surfacing: </w:t>
      </w:r>
      <w:r>
        <w:rPr>
          <w:i/>
          <w:iCs/>
        </w:rPr>
        <w:t xml:space="preserve">this group contains both bridges and barriers. Sidewalks bring people together; heavy through-traffic cuts a neighborhood apart. Boundaries like rivers and freeways do both depending on scale. In a live affinity exercise I would consider splitting this into shared physical space versus physical structures that shape boundaries — but the cohort probably would not, because the same sticky often plays both roles.</w:t>
      </w:r>
    </w:p>
    <w:p>
      <w:pPr>
        <w:pStyle w:val="Heading2"/>
        <w:spacing w:after="160" w:before="280"/>
      </w:pPr>
      <w:r>
        <w:t xml:space="preserve">Group 4 — Institutions and anchor organizations</w:t>
      </w:r>
    </w:p>
    <w:p>
      <w:pPr>
        <w:spacing w:after="160" w:line="320"/>
      </w:pPr>
      <w:r>
        <w:t xml:space="preserve">Roughly twelve stickies.</w:t>
      </w:r>
    </w:p>
    <w:p>
      <w:pPr>
        <w:spacing w:after="160" w:line="320"/>
      </w:pPr>
      <w:r>
        <w:t xml:space="preserve">Institutions: Churches, Schools, Library, Civic Organizations. Institutions. Anchor institutions like congregations, schools, and local businesses nurture co-creation amongst neighbors. Local Businesses. Associations — block clubs, small groups. Common schools. Common governance. Familiarity with institutional leaders. Businesses with visible participation in neighborhood efforts. Shared relationship with church, school, or other local institution. Partnerships: City, nonprofits, churches, neighbors.</w:t>
      </w:r>
    </w:p>
    <w:p>
      <w:pPr>
        <w:spacing w:after="160" w:line="320"/>
      </w:pPr>
      <w:r>
        <w:t xml:space="preserve">The dissent sticks out. Stacy Brungardt: “The community of faith as an institution has become irrelevent.” This sticky sits in the cluster but actively argues against it. The tension is the most interesting thing in this group, and it should not be averaged away.</w:t>
      </w:r>
    </w:p>
    <w:p>
      <w:pPr>
        <w:pStyle w:val="Heading2"/>
        <w:spacing w:after="160" w:before="280"/>
      </w:pPr>
      <w:r>
        <w:t xml:space="preserve">Group 5 — Rhythm: repeated encounter over time</w:t>
      </w:r>
    </w:p>
    <w:p>
      <w:pPr>
        <w:spacing w:after="160" w:line="320"/>
      </w:pPr>
      <w:r>
        <w:t xml:space="preserve">Roughly fourteen stickies. This is the group I would put real money on as a finding. It is also the easiest to miss, because the stickies do not share keywords — they share a structure.</w:t>
      </w:r>
    </w:p>
    <w:p>
      <w:pPr>
        <w:spacing w:after="160" w:line="320"/>
      </w:pPr>
      <w:r>
        <w:t xml:space="preserve">Repeat interactions and expectation of future interactions. Shared routines — knowing certain people go on walks on certain days, or that the family down the street eats outside every Friday. Familiar rhythms of daily life. Repeated encounters. Rituals in church services. Eating together / shared meal. Celebrations — weddings, baptisms. Events that bring people together — kids sports, music in the park. Regular at the gym. Neighborhood pride festival. Children running around. Familiarity with the land neighbors — what birds live here, what land features define our space, what is distinct about the different seasons of my place.</w:t>
      </w:r>
    </w:p>
    <w:p>
      <w:pPr>
        <w:spacing w:after="160" w:line="320"/>
      </w:pPr>
      <w:r>
        <w:t xml:space="preserve">The thread: a neighborhood is the unit that sustains recurring contact, including with seasons, land, and non-humans. The stickies do not say this directly. The grouping says it. Kristina’s land-neighbors sticky belongs here because it is rhythm extended to non-human time.</w:t>
      </w:r>
    </w:p>
    <w:p>
      <w:pPr>
        <w:pStyle w:val="Heading2"/>
        <w:spacing w:after="160" w:before="280"/>
      </w:pPr>
      <w:r>
        <w:t xml:space="preserve">Group 6 — What we hold in common: values, longings, stakes, complaints</w:t>
      </w:r>
    </w:p>
    <w:p>
      <w:pPr>
        <w:spacing w:after="160" w:line="320"/>
      </w:pPr>
      <w:r>
        <w:t xml:space="preserve">Roughly eighteen stickies. The abstract sibling of Group 5. Group 5 is what we do together repeatedly. Group 6 is what we have in common as a result, or as a precondition.</w:t>
      </w:r>
    </w:p>
    <w:p>
      <w:pPr>
        <w:spacing w:after="160" w:line="320"/>
      </w:pPr>
      <w:r>
        <w:t xml:space="preserve">Shared values. Shared longings. Shared purpose. Shared identity (Yvonne, Nate, Nicholas). Shared concerns. Shared stories and/or experiences. A common narrative, but not exclusive. Sense of shared identity. Shared sense of identity, wellfare (‘our’ place and people). Shared commitment to our collective well-being. We all complain about the same potholes. Laments, communal challenges/losses. Shared experience in deep south history of segregation and continued reality of oppression. Cross cultural relationships. Hearing and sharing stories. Sharing hopes and dreams.</w:t>
      </w:r>
    </w:p>
    <w:p>
      <w:pPr>
        <w:spacing w:after="160" w:line="320"/>
      </w:pPr>
      <w:r>
        <w:rPr>
          <w:b/>
          <w:bCs/>
        </w:rPr>
        <w:t xml:space="preserve">A real splitting question lives here. </w:t>
      </w:r>
      <w:r>
        <w:t xml:space="preserve">The “shared” stickies pull in three directions. Some are about commonality of values (we want the same things). Some are about common stakes (we will suffer or benefit together whether we want to or not). Some are about collective action (we do things together). In a live exercise I would split Group 6 into:</w:t>
      </w:r>
    </w:p>
    <w:p>
      <w:pPr>
        <w:pStyle w:val="ListParagraph"/>
        <w:numPr>
          <w:ilvl w:val="0"/>
          <w:numId w:val="2"/>
        </w:numPr>
        <w:spacing w:after="100" w:line="300"/>
      </w:pPr>
      <w:r>
        <w:rPr>
          <w:b/>
          <w:bCs/>
        </w:rPr>
        <w:t xml:space="preserve">6a. </w:t>
      </w:r>
      <w:r>
        <w:t xml:space="preserve">Common values, longings, dreams.</w:t>
      </w:r>
    </w:p>
    <w:p>
      <w:pPr>
        <w:pStyle w:val="ListParagraph"/>
        <w:numPr>
          <w:ilvl w:val="0"/>
          <w:numId w:val="2"/>
        </w:numPr>
        <w:spacing w:after="100" w:line="300"/>
      </w:pPr>
      <w:r>
        <w:rPr>
          <w:b/>
          <w:bCs/>
        </w:rPr>
        <w:t xml:space="preserve">6b. </w:t>
      </w:r>
      <w:r>
        <w:t xml:space="preserve">Common stakes — bound together by conditions we did not choose (potholes, segregation, disaster).</w:t>
      </w:r>
    </w:p>
    <w:p>
      <w:pPr>
        <w:pStyle w:val="ListParagraph"/>
        <w:numPr>
          <w:ilvl w:val="0"/>
          <w:numId w:val="2"/>
        </w:numPr>
        <w:spacing w:after="100" w:line="300"/>
      </w:pPr>
      <w:r>
        <w:rPr>
          <w:b/>
          <w:bCs/>
        </w:rPr>
        <w:t xml:space="preserve">6c. </w:t>
      </w:r>
      <w:r>
        <w:t xml:space="preserve">Collective action — doing things together by intent (celebrations, shared decision-making, shared upkeep).</w:t>
      </w:r>
    </w:p>
    <w:p>
      <w:pPr>
        <w:spacing w:after="160" w:line="320"/>
      </w:pPr>
      <w:r>
        <w:t xml:space="preserve">The split matters because the three have different network implications. 6a is about alignment, 6b is about exposure, 6c is about coordination.</w:t>
      </w:r>
    </w:p>
    <w:p>
      <w:pPr>
        <w:pStyle w:val="Heading2"/>
        <w:spacing w:after="160" w:before="280"/>
      </w:pPr>
      <w:r>
        <w:t xml:space="preserve">Group 7 — Memory, story, identity over time</w:t>
      </w:r>
    </w:p>
    <w:p>
      <w:pPr>
        <w:spacing w:after="160" w:line="320"/>
      </w:pPr>
      <w:r>
        <w:t xml:space="preserve">Roughly ten stickies.</w:t>
      </w:r>
    </w:p>
    <w:p>
      <w:pPr>
        <w:spacing w:after="160" w:line="320"/>
      </w:pPr>
      <w:r>
        <w:t xml:space="preserve">Identity. Culture. Area of cultural identity and history. Appalachian Culture: Independence, Folk Arts. A common narrative, but not exclusive. We hold the memories of the place and nurture the making of new memories together. Vision for future. When asked where they’re from, the neighborhood (local place) is part of the response. Sense of familiarity / home. Stories and storytellers that can connect the past of the place, with the present, prompting imagination for what’s possible in the future.</w:t>
      </w:r>
    </w:p>
    <w:p>
      <w:pPr>
        <w:spacing w:after="160" w:line="320"/>
      </w:pPr>
      <w:r>
        <w:t xml:space="preserve">This group is about temporal layering — the neighborhood as something with a past being carried into a future. Distinct from Group 5 (cadence in present time) and Group 6 (mostly the present we share).</w:t>
      </w:r>
    </w:p>
    <w:p>
      <w:pPr>
        <w:spacing w:after="160" w:line="320"/>
      </w:pPr>
      <w:r>
        <w:t xml:space="preserve">Kristina’s Bdote sticky is doing something the rest of the group is not — it makes story into accountability infrastructure, not just connective tissue. I would flag it as an outlier inside the group rather than letting it be averaged into the rest.</w:t>
      </w:r>
    </w:p>
    <w:p>
      <w:pPr>
        <w:pStyle w:val="Heading2"/>
        <w:spacing w:after="160" w:before="280"/>
      </w:pPr>
      <w:r>
        <w:t xml:space="preserve">Group 8 — The meta-layer: why neighborhoods matter</w:t>
      </w:r>
    </w:p>
    <w:p>
      <w:pPr>
        <w:spacing w:after="160" w:line="320"/>
      </w:pPr>
      <w:r>
        <w:t xml:space="preserve">Roughly eleven stickies. Most of Tim Soerens’s contributions plus a few adjacent ones. These do not describe a neighborhood. They argue for it as the right unit of analysis.</w:t>
      </w:r>
    </w:p>
    <w:p>
      <w:pPr>
        <w:spacing w:after="160" w:before="80" w:line="300"/>
        <w:ind w:left="720"/>
      </w:pPr>
      <w:r>
        <w:rPr>
          <w:i/>
          <w:iCs/>
        </w:rPr>
        <w:t xml:space="preserve">“Neighborhoods as the unit of change is a powerful framing idea and invitation.” </w:t>
      </w:r>
      <w:r>
        <w:rPr>
          <w:i w:val="false"/>
          <w:iCs w:val="false"/>
          <w:color w:val="555555"/>
        </w:rPr>
        <w:t xml:space="preserve">— Tim Soerens</w:t>
      </w:r>
    </w:p>
    <w:p>
      <w:pPr>
        <w:spacing w:after="160" w:before="80" w:line="300"/>
        <w:ind w:left="720"/>
      </w:pPr>
      <w:r>
        <w:rPr>
          <w:i/>
          <w:iCs/>
        </w:rPr>
        <w:t xml:space="preserve">“Neighborhoods are ‘upstream’ of nearly every social, environmental, economic, and political problem if viewed through the lens of a network.” </w:t>
      </w:r>
      <w:r>
        <w:rPr>
          <w:i w:val="false"/>
          <w:iCs w:val="false"/>
          <w:color w:val="555555"/>
        </w:rPr>
        <w:t xml:space="preserve">— Tim Soerens</w:t>
      </w:r>
    </w:p>
    <w:p>
      <w:pPr>
        <w:spacing w:after="160" w:before="80" w:line="300"/>
        <w:ind w:left="720"/>
      </w:pPr>
      <w:r>
        <w:rPr>
          <w:i/>
          <w:iCs/>
        </w:rPr>
        <w:t xml:space="preserve">“Neighborhoods are the ‘how’ they are not the ‘why’.” </w:t>
      </w:r>
      <w:r>
        <w:rPr>
          <w:i w:val="false"/>
          <w:iCs w:val="false"/>
          <w:color w:val="555555"/>
        </w:rPr>
        <w:t xml:space="preserve">— Tim Soerens</w:t>
      </w:r>
    </w:p>
    <w:p>
      <w:pPr>
        <w:spacing w:after="160" w:line="320"/>
      </w:pPr>
      <w:r>
        <w:t xml:space="preserve">Ron Werner: “We are able to strive for all to flourish as opposed to striving for all to like each other.” Kristina Fruge: “Ways to disagree and still live together … we don’t have to like each other all or most of the time.”</w:t>
      </w:r>
    </w:p>
    <w:p>
      <w:pPr>
        <w:spacing w:after="160" w:line="320"/>
      </w:pPr>
      <w:r>
        <w:t xml:space="preserve">In a real affinity exercise I would physically separate this group from the others and tell the cohort: these are arguments, not definitions, and you should be aware that you have both kinds of stickies in your data. Treating them together collapses the difference.</w:t>
      </w:r>
    </w:p>
    <w:p>
      <w:pPr>
        <w:pBdr>
          <w:bottom w:val="single" w:color="BBBBBB" w:sz="6" w:space="6"/>
        </w:pBdr>
        <w:spacing w:after="200" w:before="120"/>
      </w:pPr>
      <w:r>
        <w:t xml:space="preserve"/>
      </w:r>
    </w:p>
    <w:p>
      <w:pPr>
        <w:pStyle w:val="Heading1"/>
        <w:spacing w:after="200" w:before="360"/>
      </w:pPr>
      <w:r>
        <w:t xml:space="preserve">Hard cases — stickies that resist clustering</w:t>
      </w:r>
    </w:p>
    <w:p>
      <w:pPr>
        <w:spacing w:after="160" w:line="320"/>
      </w:pPr>
      <w:r>
        <w:t xml:space="preserve">The honest way to run affinity is to name the stickies that do not sit cleanly. These are the ones worth negotiating over.</w:t>
      </w:r>
    </w:p>
    <w:p>
      <w:pPr>
        <w:pStyle w:val="ListParagraph"/>
        <w:numPr>
          <w:ilvl w:val="0"/>
          <w:numId w:val="2"/>
        </w:numPr>
        <w:spacing w:after="100" w:line="300"/>
      </w:pPr>
      <w:r>
        <w:rPr>
          <w:b/>
          <w:bCs/>
        </w:rPr>
        <w:t xml:space="preserve">Weak ties built-in (David Park). </w:t>
      </w:r>
      <w:r>
        <w:t xml:space="preserve">Groups 1, 2, or its own thing? It is the most network-theory-aware single sticky. I would argue for its own micro-group called possibility / latent ties, joined by Yvonne’s “regular at the gym” stickies and Aidan’s “culture of connecting strengths to local desires.” That micro-group would map directly onto the “potential” thread from the round-robin.</w:t>
      </w:r>
    </w:p>
    <w:p>
      <w:pPr>
        <w:pStyle w:val="ListParagraph"/>
        <w:numPr>
          <w:ilvl w:val="0"/>
          <w:numId w:val="2"/>
        </w:numPr>
        <w:spacing w:after="100" w:line="300"/>
      </w:pPr>
      <w:r>
        <w:rPr>
          <w:b/>
          <w:bCs/>
        </w:rPr>
        <w:t xml:space="preserve">Pretense of proximity (David Park). </w:t>
      </w:r>
      <w:r>
        <w:t xml:space="preserve">Sits awkwardly. Reads as a critique — proximity without relationship is pretense, not neighborhood. Worth surfacing as a counter-voice, not just clustered.</w:t>
      </w:r>
    </w:p>
    <w:p>
      <w:pPr>
        <w:pStyle w:val="ListParagraph"/>
        <w:numPr>
          <w:ilvl w:val="0"/>
          <w:numId w:val="2"/>
        </w:numPr>
        <w:spacing w:after="100" w:line="300"/>
      </w:pPr>
      <w:r>
        <w:rPr>
          <w:b/>
          <w:bCs/>
        </w:rPr>
        <w:t xml:space="preserve">Heavy thru traffic mixed with busy residential activity (Stacy Brungardt). </w:t>
      </w:r>
      <w:r>
        <w:t xml:space="preserve">Physical (Group 3), or a comment on how infrastructure shapes whether the other groups can happen at all? Structural commentary, not a defining feature.</w:t>
      </w:r>
    </w:p>
    <w:p>
      <w:pPr>
        <w:pStyle w:val="ListParagraph"/>
        <w:numPr>
          <w:ilvl w:val="0"/>
          <w:numId w:val="2"/>
        </w:numPr>
        <w:spacing w:after="100" w:line="300"/>
      </w:pPr>
      <w:r>
        <w:rPr>
          <w:b/>
          <w:bCs/>
        </w:rPr>
        <w:t xml:space="preserve">I’m a white woman living in an all black neighborhood and I feel safer than I ever have (Stacy Brungardt). </w:t>
      </w:r>
      <w:r>
        <w:t xml:space="preserve">This one resists clustering. It is a specific personal disclosure that pushes back on assumptions about who feels safe where. I would put it in its own column called complications alongside her segregation sticky and Kristina’s Bdote sticky.</w:t>
      </w:r>
    </w:p>
    <w:p>
      <w:pPr>
        <w:pStyle w:val="ListParagraph"/>
        <w:numPr>
          <w:ilvl w:val="0"/>
          <w:numId w:val="2"/>
        </w:numPr>
        <w:spacing w:after="100" w:line="300"/>
      </w:pPr>
      <w:r>
        <w:rPr>
          <w:b/>
          <w:bCs/>
        </w:rPr>
        <w:t xml:space="preserve">Socio-economic status of an area (Yvonne Murray). </w:t>
      </w:r>
      <w:r>
        <w:t xml:space="preserve">A defining feature, or a determinant of who has neighborhood access? Descriptive but value-loaded. Probably its own thing, or paired with the complications column.</w:t>
      </w:r>
    </w:p>
    <w:p>
      <w:pPr>
        <w:pStyle w:val="ListParagraph"/>
        <w:numPr>
          <w:ilvl w:val="0"/>
          <w:numId w:val="2"/>
        </w:numPr>
        <w:spacing w:after="100" w:line="300"/>
      </w:pPr>
      <w:r>
        <w:rPr>
          <w:b/>
          <w:bCs/>
        </w:rPr>
        <w:t xml:space="preserve">Food desert without big chain grocery stores yet smaller shopping access increases neighbor to neighbor connectivity (Stacy Brungardt). </w:t>
      </w:r>
      <w:r>
        <w:t xml:space="preserve">A paradox sticky. Group 3 (physical), Group 1 (knowing each other), or Group 8 (argument)? It is doing all three.</w:t>
      </w:r>
    </w:p>
    <w:p>
      <w:pPr>
        <w:pBdr>
          <w:bottom w:val="single" w:color="BBBBBB" w:sz="6" w:space="6"/>
        </w:pBdr>
        <w:spacing w:after="200" w:before="120"/>
      </w:pPr>
      <w:r>
        <w:t xml:space="preserve"/>
      </w:r>
    </w:p>
    <w:p>
      <w:pPr>
        <w:pStyle w:val="Heading1"/>
        <w:spacing w:after="200" w:before="360"/>
      </w:pPr>
      <w:r>
        <w:t xml:space="preserve">Questions the affinity exercise surfaces</w:t>
      </w:r>
    </w:p>
    <w:p>
      <w:pPr>
        <w:spacing w:after="160" w:line="320"/>
      </w:pPr>
      <w:r>
        <w:t xml:space="preserve">These are for the cohort, not for us to answer.</w:t>
      </w:r>
    </w:p>
    <w:p>
      <w:pPr>
        <w:pStyle w:val="Heading3"/>
        <w:spacing w:after="120" w:before="220"/>
      </w:pPr>
      <w:r>
        <w:t xml:space="preserve">1. Are we describing what is, or what should be?</w:t>
      </w:r>
    </w:p>
    <w:p>
      <w:pPr>
        <w:spacing w:after="160" w:line="320"/>
      </w:pPr>
      <w:r>
        <w:t xml:space="preserve">The corpus is largely aspirational. “Everyone has a seat and a voice at the table.” “Growing justice, inclusion and equity.” “Old and young visible and cared for.” These describe a neighborhood we would want, not necessarily one that exists at scale. Worth asking the cohort whether they were defining the noun or the ideal.</w:t>
      </w:r>
    </w:p>
    <w:p>
      <w:pPr>
        <w:pStyle w:val="Heading3"/>
        <w:spacing w:after="120" w:before="220"/>
      </w:pPr>
      <w:r>
        <w:t xml:space="preserve">2. What is a neighborhood without?</w:t>
      </w:r>
    </w:p>
    <w:p>
      <w:pPr>
        <w:spacing w:after="160" w:line="320"/>
      </w:pPr>
      <w:r>
        <w:t xml:space="preserve">The corpus tells us what makes a neighborhood. It does not tell us what makes something not a neighborhood. Where is the line? An apartment complex with no shared life? A gated community with shared amenities but no obligation? A suburb where everyone drives to private destinations? Affinity work surfaces what the cohort included. The harder question is what they excluded without noticing.</w:t>
      </w:r>
    </w:p>
    <w:p>
      <w:pPr>
        <w:pStyle w:val="Heading3"/>
        <w:spacing w:after="120" w:before="220"/>
      </w:pPr>
      <w:r>
        <w:t xml:space="preserve">3. The “shared” verb — what kind?</w:t>
      </w:r>
    </w:p>
    <w:p>
      <w:pPr>
        <w:spacing w:after="160" w:line="320"/>
      </w:pPr>
      <w:r>
        <w:t xml:space="preserve">Group 6 has the splitting problem named above. Three different “shareds” — commonality of values, common stakes, collective action. Worth asking which one the working definition centers.</w:t>
      </w:r>
    </w:p>
    <w:p>
      <w:pPr>
        <w:pStyle w:val="Heading3"/>
        <w:spacing w:after="120" w:before="220"/>
      </w:pPr>
      <w:r>
        <w:t xml:space="preserve">4. Where do non-humans fit?</w:t>
      </w:r>
    </w:p>
    <w:p>
      <w:pPr>
        <w:spacing w:after="160" w:line="320"/>
      </w:pPr>
      <w:r>
        <w:t xml:space="preserve">A handful of stickies (Kristina’s land-neighbors, Dan’s watershed, Ron’s “more than human world”) extend the membership beyond people. Most stickies do not. Affinity exercise: do these belong in their own group, or scattered into the others as a dimension that runs across multiple clusters?</w:t>
      </w:r>
    </w:p>
    <w:p>
      <w:pPr>
        <w:pStyle w:val="Heading3"/>
        <w:spacing w:after="120" w:before="220"/>
      </w:pPr>
      <w:r>
        <w:t xml:space="preserve">5. The institution question Stacy raises</w:t>
      </w:r>
    </w:p>
    <w:p>
      <w:pPr>
        <w:spacing w:after="160" w:line="320"/>
      </w:pPr>
      <w:r>
        <w:t xml:space="preserve">One sticky claims the community of faith as institution is irrelevant. Eleven adjacent stickies treat institutions as constitutive. Affinity rule: when one sticky cuts strongly against a cluster, you do not average it out. You surface it.</w:t>
      </w:r>
    </w:p>
    <w:p>
      <w:pPr>
        <w:pStyle w:val="Heading3"/>
        <w:spacing w:after="120" w:before="220"/>
      </w:pPr>
      <w:r>
        <w:t xml:space="preserve">6. The Tim question</w:t>
      </w:r>
    </w:p>
    <w:p>
      <w:pPr>
        <w:spacing w:after="160" w:line="320"/>
      </w:pPr>
      <w:r>
        <w:t xml:space="preserve">Should the meta-stickies (Group 8) be in the data at all, or are they a different dataset? In a strict affinity exercise I would set them aside before clustering. They are not the same kind of contribution as the descriptive stickies.</w:t>
      </w:r>
    </w:p>
    <w:p>
      <w:pPr>
        <w:pBdr>
          <w:bottom w:val="single" w:color="BBBBBB" w:sz="6" w:space="6"/>
        </w:pBdr>
        <w:spacing w:after="200" w:before="120"/>
      </w:pPr>
      <w:r>
        <w:t xml:space="preserve"/>
      </w:r>
    </w:p>
    <w:p>
      <w:pPr>
        <w:pStyle w:val="Heading1"/>
        <w:spacing w:after="200" w:before="360"/>
      </w:pPr>
      <w:r>
        <w:t xml:space="preserve">What the eight groups suggest</w:t>
      </w:r>
    </w:p>
    <w:p>
      <w:pPr>
        <w:spacing w:after="160" w:line="320"/>
      </w:pPr>
      <w:r>
        <w:t xml:space="preserve">If the groupings have to say something — which is what affinity work is for — the structure points toward something like this:</w:t>
      </w:r>
    </w:p>
    <w:p>
      <w:pPr>
        <w:spacing w:after="160" w:line="320"/>
      </w:pPr>
      <w:r>
        <w:t xml:space="preserve">A neighborhood is a place where recognition (G1) supports mutual obligation (G2), built on a physical substrate (G3) and institutional anchors (G4), sustained by rhythms of recurring contact (G5), expressed through what is held in common (G6), layered with memory and identity over time (G7).</w:t>
      </w:r>
    </w:p>
    <w:p>
      <w:pPr>
        <w:spacing w:after="160" w:line="320"/>
      </w:pPr>
      <w:r>
        <w:t xml:space="preserve">The meta-layer (G8) sits outside this and argues that the whole structure is upstream of most other problems worth working on.</w:t>
      </w:r>
    </w:p>
    <w:p>
      <w:pPr>
        <w:spacing w:after="160" w:line="320"/>
      </w:pPr>
      <w:r>
        <w:t xml:space="preserve">That sentence is intentionally clunky. It is what the corpus says, not a polished definition. A polished definition is a next step — and it is the step where Sarah’s working sentence is doing better work than anything emerging directly from affinity alone.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825B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C7A7A"/>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TNN 2026 Activity 1 Affinity Exercise</dc:title>
  <dc:creator>Connecting for Change</dc:creator>
  <dc:description>Bottom-up affinity groupings from the sticky corpus</dc:description>
  <cp:lastModifiedBy>Un-named</cp:lastModifiedBy>
  <cp:revision>1</cp:revision>
  <dcterms:created xsi:type="dcterms:W3CDTF">2026-05-27T19:22:39.732Z</dcterms:created>
  <dcterms:modified xsi:type="dcterms:W3CDTF">2026-05-27T19:22:39.746Z</dcterms:modified>
</cp:coreProperties>
</file>

<file path=docProps/custom.xml><?xml version="1.0" encoding="utf-8"?>
<Properties xmlns="http://schemas.openxmlformats.org/officeDocument/2006/custom-properties" xmlns:vt="http://schemas.openxmlformats.org/officeDocument/2006/docPropsVTypes"/>
</file>