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TNN 2026 — Activity 1 Probing Questions</w:t>
      </w:r>
    </w:p>
    <w:p>
      <w:pPr>
        <w:spacing w:after="80"/>
      </w:pPr>
      <w:r>
        <w:rPr>
          <w:i/>
          <w:iCs/>
          <w:color w:val="444444"/>
          <w:sz w:val="26"/>
          <w:szCs w:val="26"/>
        </w:rPr>
        <w:t xml:space="preserve">Where to push next on what resisted categorization and what stayed open</w:t>
      </w:r>
    </w:p>
    <w:p>
      <w:pPr>
        <w:spacing w:after="280"/>
      </w:pPr>
      <w:r>
        <w:rPr>
          <w:color w:val="666666"/>
        </w:rPr>
        <w:t xml:space="preserve">Internal — George + Sarah · companion to the v4 synthesis
</w:t>
      </w:r>
      <w:r>
        <w:rPr>
          <w:color w:val="666666"/>
        </w:rPr>
        <w:t xml:space="preserve">Drafted 27 May 2026</w:t>
      </w:r>
    </w:p>
    <w:p>
      <w:pPr>
        <w:pBdr>
          <w:bottom w:val="single" w:color="BBBBBB" w:sz="6" w:space="6"/>
        </w:pBdr>
        <w:spacing w:after="200" w:before="120"/>
      </w:pPr>
      <w:r>
        <w:t xml:space="preserve"/>
      </w:r>
    </w:p>
    <w:p>
      <w:pPr>
        <w:pStyle w:val="Heading1"/>
        <w:spacing w:after="200" w:before="360"/>
      </w:pPr>
      <w:r>
        <w:t xml:space="preserve">How to use this</w:t>
      </w:r>
    </w:p>
    <w:p>
      <w:pPr>
        <w:spacing w:after="160" w:line="320"/>
      </w:pPr>
      <w:r>
        <w:t xml:space="preserve">This is a working document, not a report. It collects the questions worth asking next, organized by the three things in the synthesis that are not settled: stickies that resisted clustering, definitional questions left open, and the strategic reframe Sarah introduced about what kind of network TNN itself is.</w:t>
      </w:r>
    </w:p>
    <w:p>
      <w:pPr>
        <w:spacing w:after="160" w:line="320"/>
      </w:pPr>
      <w:r>
        <w:t xml:space="preserve">Each question carries two lines. Routed to names who the question is for — a specific participant, the cohort, the two of us, or the client. Unlocks names what changes if the question gets a clear answer. If a question does not unlock anything, it is not here. The test for every entry was whether a clear answer would move something downstream: an analysis, a working definition, a product decision, or a client conversation.</w:t>
      </w:r>
    </w:p>
    <w:p>
      <w:pPr>
        <w:spacing w:after="160" w:line="320"/>
      </w:pPr>
      <w:r>
        <w:t xml:space="preserve">A suggested path. Work through Part B (the open definitional questions) together in about thirty minutes — those are the ones only the two of you can answer. Route the Part A questions to the participants who raised them, either async or at the next convening, since they are quick and contributor-specific. Hold Part C (the TNN-itself reframe) for a deliberate conversation, and decide before the next client touchpoint whether any of it goes on the table.</w:t>
      </w:r>
    </w:p>
    <w:p>
      <w:pPr>
        <w:pBdr>
          <w:bottom w:val="single" w:color="BBBBBB" w:sz="6" w:space="6"/>
        </w:pBdr>
        <w:spacing w:after="200" w:before="120"/>
      </w:pPr>
      <w:r>
        <w:t xml:space="preserve"/>
      </w:r>
    </w:p>
    <w:p>
      <w:pPr>
        <w:pStyle w:val="Heading1"/>
        <w:spacing w:after="200" w:before="360"/>
      </w:pPr>
      <w:r>
        <w:t xml:space="preserve">Part A — Stickies that resisted categorization</w:t>
      </w:r>
    </w:p>
    <w:p>
      <w:pPr>
        <w:spacing w:after="160" w:line="320"/>
      </w:pPr>
      <w:r>
        <w:t xml:space="preserve">These are contributor-facing. Each one is a sticky that did not sit cleanly in any cluster. The point is not to force it into a box but to find out what was meant, which usually reveals whether it is an outlier, a counter-voice, or a finding the clusters missed.</w:t>
      </w:r>
    </w:p>
    <w:p>
      <w:pPr>
        <w:pStyle w:val="Heading3"/>
        <w:spacing w:after="100" w:before="220"/>
      </w:pPr>
      <w:r>
        <w:t xml:space="preserve">“Pretense of proximity” (David Park)</w:t>
      </w:r>
    </w:p>
    <w:p>
      <w:pPr>
        <w:spacing w:after="60" w:before="140" w:line="320"/>
      </w:pPr>
      <w:r>
        <w:rPr>
          <w:b/>
          <w:bCs/>
        </w:rPr>
        <w:t xml:space="preserve">When you wrote ‘pretense of proximity,’ were you naming a failure mode — proximity that looks like neighborhood but isn’t — or something the relational frame is meant to correct?</w:t>
      </w:r>
    </w:p>
    <w:p>
      <w:pPr>
        <w:spacing w:after="40" w:line="300"/>
        <w:ind w:left="360"/>
      </w:pPr>
      <w:r>
        <w:rPr>
          <w:i/>
          <w:iCs/>
          <w:color w:val="0C7A7A"/>
        </w:rPr>
        <w:t xml:space="preserve">Routed to: </w:t>
      </w:r>
      <w:r>
        <w:rPr>
          <w:color w:val="333333"/>
        </w:rPr>
        <w:t xml:space="preserve">David.</w:t>
      </w:r>
    </w:p>
    <w:p>
      <w:pPr>
        <w:spacing w:after="160" w:line="300"/>
        <w:ind w:left="360"/>
      </w:pPr>
      <w:r>
        <w:rPr>
          <w:i/>
          <w:iCs/>
          <w:color w:val="0C7A7A"/>
        </w:rPr>
        <w:t xml:space="preserve">Unlocks: </w:t>
      </w:r>
      <w:r>
        <w:rPr>
          <w:color w:val="333333"/>
        </w:rPr>
        <w:t xml:space="preserve">Confirms whether the corpus contains an explicit “what is not a neighborhood” voice. If yes, it pairs with breakout group one’s item 4 (proximity without shared concern) to give the working definition a negative boundary, not just a positive one.</w:t>
      </w:r>
    </w:p>
    <w:p>
      <w:pPr>
        <w:pStyle w:val="Heading3"/>
        <w:spacing w:after="100" w:before="220"/>
      </w:pPr>
      <w:r>
        <w:t xml:space="preserve">“Weak ties built-in” (David Park)</w:t>
      </w:r>
    </w:p>
    <w:p>
      <w:pPr>
        <w:spacing w:after="60" w:before="140" w:line="320"/>
      </w:pPr>
      <w:r>
        <w:rPr>
          <w:b/>
          <w:bCs/>
        </w:rPr>
        <w:t xml:space="preserve">Did you mean weak ties as a feature a neighborhood provides automatically, or as something a healthy neighborhood has to cultivate?</w:t>
      </w:r>
    </w:p>
    <w:p>
      <w:pPr>
        <w:spacing w:after="40" w:line="300"/>
        <w:ind w:left="360"/>
      </w:pPr>
      <w:r>
        <w:rPr>
          <w:i/>
          <w:iCs/>
          <w:color w:val="0C7A7A"/>
        </w:rPr>
        <w:t xml:space="preserve">Routed to: </w:t>
      </w:r>
      <w:r>
        <w:rPr>
          <w:color w:val="333333"/>
        </w:rPr>
        <w:t xml:space="preserve">David.</w:t>
      </w:r>
    </w:p>
    <w:p>
      <w:pPr>
        <w:spacing w:after="160" w:line="300"/>
        <w:ind w:left="360"/>
      </w:pPr>
      <w:r>
        <w:rPr>
          <w:i/>
          <w:iCs/>
          <w:color w:val="0C7A7A"/>
        </w:rPr>
        <w:t xml:space="preserve">Unlocks: </w:t>
      </w:r>
      <w:r>
        <w:rPr>
          <w:color w:val="333333"/>
        </w:rPr>
        <w:t xml:space="preserve">Settles whether the “potential / latent ties” thread (Convergence 5) is describing something structural that proximity gives for free, or something that requires activation. That distinction maps straight onto breakout group one’s measure-vs.-activate split and onto what a network analysis would actually count.</w:t>
      </w:r>
    </w:p>
    <w:p>
      <w:pPr>
        <w:pStyle w:val="Heading3"/>
        <w:spacing w:after="100" w:before="220"/>
      </w:pPr>
      <w:r>
        <w:t xml:space="preserve">“I feel safer than I ever have” (Stacy Brungardt)</w:t>
      </w:r>
    </w:p>
    <w:p>
      <w:pPr>
        <w:spacing w:after="60" w:before="140" w:line="320"/>
      </w:pPr>
      <w:r>
        <w:rPr>
          <w:b/>
          <w:bCs/>
        </w:rPr>
        <w:t xml:space="preserve">You named feeling safer in your current neighborhood than anywhere before. What produced that — the relationships, the place, the shared history, something else?</w:t>
      </w:r>
    </w:p>
    <w:p>
      <w:pPr>
        <w:spacing w:after="40" w:line="300"/>
        <w:ind w:left="360"/>
      </w:pPr>
      <w:r>
        <w:rPr>
          <w:i/>
          <w:iCs/>
          <w:color w:val="0C7A7A"/>
        </w:rPr>
        <w:t xml:space="preserve">Routed to: </w:t>
      </w:r>
      <w:r>
        <w:rPr>
          <w:color w:val="333333"/>
        </w:rPr>
        <w:t xml:space="preserve">Stacy, with care — this is a personal disclosure, not a data point to dissect.</w:t>
      </w:r>
    </w:p>
    <w:p>
      <w:pPr>
        <w:spacing w:after="160" w:line="300"/>
        <w:ind w:left="360"/>
      </w:pPr>
      <w:r>
        <w:rPr>
          <w:i/>
          <w:iCs/>
          <w:color w:val="0C7A7A"/>
        </w:rPr>
        <w:t xml:space="preserve">Unlocks: </w:t>
      </w:r>
      <w:r>
        <w:rPr>
          <w:color w:val="333333"/>
        </w:rPr>
        <w:t xml:space="preserve">This sticky resists the cohort’s assumption that safety tracks similarity. Understanding what produced it could sharpen the “whose we” work (Divergence 1) with a concrete case rather than an abstraction. Handle as a story to learn from, not a variable to code.</w:t>
      </w:r>
    </w:p>
    <w:p>
      <w:pPr>
        <w:pStyle w:val="Heading3"/>
        <w:spacing w:after="100" w:before="220"/>
      </w:pPr>
      <w:r>
        <w:t xml:space="preserve">Food desert / smaller shopping increases connectivity (Stacy Brungardt)</w:t>
      </w:r>
    </w:p>
    <w:p>
      <w:pPr>
        <w:spacing w:after="60" w:before="140" w:line="320"/>
      </w:pPr>
      <w:r>
        <w:rPr>
          <w:b/>
          <w:bCs/>
        </w:rPr>
        <w:t xml:space="preserve">You described a food desert where the absence of big chains and the presence of smaller shops increased neighbor-to-neighbor connection. Is that a paradox you’ve seen hold, or a one-time observation?</w:t>
      </w:r>
    </w:p>
    <w:p>
      <w:pPr>
        <w:spacing w:after="40" w:line="300"/>
        <w:ind w:left="360"/>
      </w:pPr>
      <w:r>
        <w:rPr>
          <w:i/>
          <w:iCs/>
          <w:color w:val="0C7A7A"/>
        </w:rPr>
        <w:t xml:space="preserve">Routed to: </w:t>
      </w:r>
      <w:r>
        <w:rPr>
          <w:color w:val="333333"/>
        </w:rPr>
        <w:t xml:space="preserve">Stacy.</w:t>
      </w:r>
    </w:p>
    <w:p>
      <w:pPr>
        <w:spacing w:after="160" w:line="300"/>
        <w:ind w:left="360"/>
      </w:pPr>
      <w:r>
        <w:rPr>
          <w:i/>
          <w:iCs/>
          <w:color w:val="0C7A7A"/>
        </w:rPr>
        <w:t xml:space="preserve">Unlocks: </w:t>
      </w:r>
      <w:r>
        <w:rPr>
          <w:color w:val="333333"/>
        </w:rPr>
        <w:t xml:space="preserve">If the pattern holds, it complicates the institutions cluster (C2.3) — it suggests that the absence of a certain kind of institution can strengthen relational ties. That is a genuinely useful counter-intuition for the “how do we make neighborhoods” question.</w:t>
      </w:r>
    </w:p>
    <w:p>
      <w:pPr>
        <w:pStyle w:val="Heading3"/>
        <w:spacing w:after="100" w:before="220"/>
      </w:pPr>
      <w:r>
        <w:t xml:space="preserve">“Socio-economic status of an area” (Yvonne Murray)</w:t>
      </w:r>
    </w:p>
    <w:p>
      <w:pPr>
        <w:spacing w:after="60" w:before="140" w:line="320"/>
      </w:pPr>
      <w:r>
        <w:rPr>
          <w:b/>
          <w:bCs/>
        </w:rPr>
        <w:t xml:space="preserve">Is socio-economic status a defining feature of a neighborhood for you, or a factor that shapes who gets access to neighborhood in the first place?</w:t>
      </w:r>
    </w:p>
    <w:p>
      <w:pPr>
        <w:spacing w:after="40" w:line="300"/>
        <w:ind w:left="360"/>
      </w:pPr>
      <w:r>
        <w:rPr>
          <w:i/>
          <w:iCs/>
          <w:color w:val="0C7A7A"/>
        </w:rPr>
        <w:t xml:space="preserve">Routed to: </w:t>
      </w:r>
      <w:r>
        <w:rPr>
          <w:color w:val="333333"/>
        </w:rPr>
        <w:t xml:space="preserve">Yvonne.</w:t>
      </w:r>
    </w:p>
    <w:p>
      <w:pPr>
        <w:spacing w:after="160" w:line="300"/>
        <w:ind w:left="360"/>
      </w:pPr>
      <w:r>
        <w:rPr>
          <w:i/>
          <w:iCs/>
          <w:color w:val="0C7A7A"/>
        </w:rPr>
        <w:t xml:space="preserve">Unlocks: </w:t>
      </w:r>
      <w:r>
        <w:rPr>
          <w:color w:val="333333"/>
        </w:rPr>
        <w:t xml:space="preserve">Distinguishes a descriptive attribute from an equity lens. If the latter, it connects to breakout group two’s oppressive-history observation and belongs in the “whose we” thread rather than the physical-place cluster.</w:t>
      </w:r>
    </w:p>
    <w:p>
      <w:pPr>
        <w:pStyle w:val="Heading3"/>
        <w:spacing w:after="100" w:before="220"/>
      </w:pPr>
      <w:r>
        <w:t xml:space="preserve">“The community of faith as an institution has become irrelevent” (Stacy Brungardt)</w:t>
      </w:r>
    </w:p>
    <w:p>
      <w:pPr>
        <w:spacing w:after="60" w:before="140" w:line="320"/>
      </w:pPr>
      <w:r>
        <w:rPr>
          <w:b/>
          <w:bCs/>
        </w:rPr>
        <w:t xml:space="preserve">This cuts against most of the room, which treated congregations as anchor institutions. Irrelevant as institutions, or irrelevant in their current form?</w:t>
      </w:r>
    </w:p>
    <w:p>
      <w:pPr>
        <w:spacing w:after="40" w:line="300"/>
        <w:ind w:left="360"/>
      </w:pPr>
      <w:r>
        <w:rPr>
          <w:i/>
          <w:iCs/>
          <w:color w:val="0C7A7A"/>
        </w:rPr>
        <w:t xml:space="preserve">Routed to: </w:t>
      </w:r>
      <w:r>
        <w:rPr>
          <w:color w:val="333333"/>
        </w:rPr>
        <w:t xml:space="preserve">Stacy, and worth surfacing to the cohort given how many framed neighborhood through the parish.</w:t>
      </w:r>
    </w:p>
    <w:p>
      <w:pPr>
        <w:spacing w:after="160" w:line="300"/>
        <w:ind w:left="360"/>
      </w:pPr>
      <w:r>
        <w:rPr>
          <w:i/>
          <w:iCs/>
          <w:color w:val="0C7A7A"/>
        </w:rPr>
        <w:t xml:space="preserve">Unlocks: </w:t>
      </w:r>
      <w:r>
        <w:rPr>
          <w:color w:val="333333"/>
        </w:rPr>
        <w:t xml:space="preserve">Resolves whether this is a lone dissent or the visible edge of a wider unease the activity did not draw out. Either way it pressure-tests the institutions cluster (Divergence 2) before any client-facing material leans on “anchor institutions” as settled.</w:t>
      </w:r>
    </w:p>
    <w:p>
      <w:pPr>
        <w:pBdr>
          <w:bottom w:val="single" w:color="BBBBBB" w:sz="6" w:space="6"/>
        </w:pBdr>
        <w:spacing w:after="200" w:before="120"/>
      </w:pPr>
      <w:r>
        <w:t xml:space="preserve"/>
      </w:r>
    </w:p>
    <w:p>
      <w:pPr>
        <w:pStyle w:val="Heading1"/>
        <w:spacing w:after="200" w:before="360"/>
      </w:pPr>
      <w:r>
        <w:t xml:space="preserve">Part B — Open definitional questions</w:t>
      </w:r>
    </w:p>
    <w:p>
      <w:pPr>
        <w:spacing w:after="160" w:line="320"/>
      </w:pPr>
      <w:r>
        <w:t xml:space="preserve">These are for the two of us, with some that could go to the cohort. They are the questions the synthesis surfaced but did not resolve. Working through them is what turns five lenses into a position C4C can stand behind.</w:t>
      </w:r>
    </w:p>
    <w:p>
      <w:pPr>
        <w:pStyle w:val="Heading3"/>
        <w:spacing w:after="100" w:before="220"/>
      </w:pPr>
      <w:r>
        <w:t xml:space="preserve">Who is “us” — or who are we responsible to?</w:t>
      </w:r>
    </w:p>
    <w:p>
      <w:pPr>
        <w:spacing w:after="60" w:before="140" w:line="320"/>
      </w:pPr>
      <w:r>
        <w:rPr>
          <w:b/>
          <w:bCs/>
        </w:rPr>
        <w:t xml:space="preserve">Do we keep ‘who is us’ as an open question in the TNN frame, or do we adopt breakout group two’s reframe — from who counts to who are we responsible to or with — as the working version?</w:t>
      </w:r>
    </w:p>
    <w:p>
      <w:pPr>
        <w:spacing w:after="40" w:line="300"/>
        <w:ind w:left="360"/>
      </w:pPr>
      <w:r>
        <w:rPr>
          <w:i/>
          <w:iCs/>
          <w:color w:val="0C7A7A"/>
        </w:rPr>
        <w:t xml:space="preserve">Routed to: </w:t>
      </w:r>
      <w:r>
        <w:rPr>
          <w:color w:val="333333"/>
        </w:rPr>
        <w:t xml:space="preserve">Us first, then potentially the cohort.</w:t>
      </w:r>
    </w:p>
    <w:p>
      <w:pPr>
        <w:spacing w:after="160" w:line="300"/>
        <w:ind w:left="360"/>
      </w:pPr>
      <w:r>
        <w:rPr>
          <w:i/>
          <w:iCs/>
          <w:color w:val="0C7A7A"/>
        </w:rPr>
        <w:t xml:space="preserve">Unlocks: </w:t>
      </w:r>
      <w:r>
        <w:rPr>
          <w:color w:val="333333"/>
        </w:rPr>
        <w:t xml:space="preserve">This is the most consequential definitional fork. The descriptive version (who counts) leaves the boundary neutral. The normative version (who are we responsible to) attaches obligation to membership and brings the oppressive-history observation into view. Picking one shapes whether TNN’s frame is a measurement frame or a moral one. Hard to be both without saying so.</w:t>
      </w:r>
    </w:p>
    <w:p>
      <w:pPr>
        <w:pStyle w:val="Heading3"/>
        <w:spacing w:after="100" w:before="220"/>
      </w:pPr>
      <w:r>
        <w:t xml:space="preserve">Geography excludes, relationship includes — which side leads?</w:t>
      </w:r>
    </w:p>
    <w:p>
      <w:pPr>
        <w:spacing w:after="60" w:before="140" w:line="320"/>
      </w:pPr>
      <w:r>
        <w:rPr>
          <w:b/>
          <w:bCs/>
        </w:rPr>
        <w:t xml:space="preserve">Breakout group two held that the geographic frame excludes and the relational frame includes, but that the boundary is what makes responsibility possible. When the two pull apart, which do we treat as primary — and how do we avoid the commuter-church cop-out?</w:t>
      </w:r>
    </w:p>
    <w:p>
      <w:pPr>
        <w:spacing w:after="40" w:line="300"/>
        <w:ind w:left="360"/>
      </w:pPr>
      <w:r>
        <w:rPr>
          <w:i/>
          <w:iCs/>
          <w:color w:val="0C7A7A"/>
        </w:rPr>
        <w:t xml:space="preserve">Routed to: </w:t>
      </w:r>
      <w:r>
        <w:rPr>
          <w:color w:val="333333"/>
        </w:rPr>
        <w:t xml:space="preserve">Us.</w:t>
      </w:r>
    </w:p>
    <w:p>
      <w:pPr>
        <w:spacing w:after="160" w:line="300"/>
        <w:ind w:left="360"/>
      </w:pPr>
      <w:r>
        <w:rPr>
          <w:i/>
          <w:iCs/>
          <w:color w:val="0C7A7A"/>
        </w:rPr>
        <w:t xml:space="preserve">Unlocks: </w:t>
      </w:r>
      <w:r>
        <w:rPr>
          <w:color w:val="333333"/>
        </w:rPr>
        <w:t xml:space="preserve">This is the same tension as Sarah’s headline (ties not location) versus her closing prose (both necessary). Resolving it tells us whether a TNN “neighborhood” is drawn around a place or around a person’s ties — which determines what the graph even looks like. The commuter-church point is the guardrail: a ties-first definition has to keep people accountable to a place, or it lets them claim a neighborhood they never invest in.</w:t>
      </w:r>
    </w:p>
    <w:p>
      <w:pPr>
        <w:pStyle w:val="Heading3"/>
        <w:spacing w:after="100" w:before="220"/>
      </w:pPr>
      <w:r>
        <w:t xml:space="preserve">Ego-network or place-network as the unit?</w:t>
      </w:r>
    </w:p>
    <w:p>
      <w:pPr>
        <w:spacing w:after="60" w:before="140" w:line="320"/>
      </w:pPr>
      <w:r>
        <w:rPr>
          <w:b/>
          <w:bCs/>
        </w:rPr>
        <w:t xml:space="preserve">Given multidimensionality — people belong to several neighborhoods at once — do we define the analytical unit as a person’s ego-network, or as a bounded place? Or do we carry both and specify which we mean each time?</w:t>
      </w:r>
    </w:p>
    <w:p>
      <w:pPr>
        <w:spacing w:after="40" w:line="300"/>
        <w:ind w:left="360"/>
      </w:pPr>
      <w:r>
        <w:rPr>
          <w:i/>
          <w:iCs/>
          <w:color w:val="0C7A7A"/>
        </w:rPr>
        <w:t xml:space="preserve">Routed to: </w:t>
      </w:r>
      <w:r>
        <w:rPr>
          <w:color w:val="333333"/>
        </w:rPr>
        <w:t xml:space="preserve">Us — this is a methods decision for the analytics practice.</w:t>
      </w:r>
    </w:p>
    <w:p>
      <w:pPr>
        <w:spacing w:after="160" w:line="300"/>
        <w:ind w:left="360"/>
      </w:pPr>
      <w:r>
        <w:rPr>
          <w:i/>
          <w:iCs/>
          <w:color w:val="0C7A7A"/>
        </w:rPr>
        <w:t xml:space="preserve">Unlocks: </w:t>
      </w:r>
      <w:r>
        <w:rPr>
          <w:color w:val="333333"/>
        </w:rPr>
        <w:t xml:space="preserve">Directly shapes InsightGraph / ActorGraph / UtilityGraph boundary-setting. An ego-network unit and a place unit produce different graphs, different centrality stories, and different client deliverables. Right now we are implicitly using place; the data suggests person may sometimes be the truer unit. Naming when to use which prevents silent inconsistency across projects.</w:t>
      </w:r>
    </w:p>
    <w:p>
      <w:pPr>
        <w:pStyle w:val="Heading3"/>
        <w:spacing w:after="100" w:before="220"/>
      </w:pPr>
      <w:r>
        <w:t xml:space="preserve">Measurement vs. activation — are we doing both?</w:t>
      </w:r>
    </w:p>
    <w:p>
      <w:pPr>
        <w:spacing w:after="60" w:before="140" w:line="320"/>
      </w:pPr>
      <w:r>
        <w:rPr>
          <w:b/>
          <w:bCs/>
        </w:rPr>
        <w:t xml:space="preserve">Breakout group one named that measuring a network and activating one are different. Across the C4C product line, are we clear about which tools measure and which activate — and do we have a theory of how measurement leads to activation?</w:t>
      </w:r>
    </w:p>
    <w:p>
      <w:pPr>
        <w:spacing w:after="40" w:line="300"/>
        <w:ind w:left="360"/>
      </w:pPr>
      <w:r>
        <w:rPr>
          <w:i/>
          <w:iCs/>
          <w:color w:val="0C7A7A"/>
        </w:rPr>
        <w:t xml:space="preserve">Routed to: </w:t>
      </w:r>
      <w:r>
        <w:rPr>
          <w:color w:val="333333"/>
        </w:rPr>
        <w:t xml:space="preserve">Us, and it touches the product roadmap.</w:t>
      </w:r>
    </w:p>
    <w:p>
      <w:pPr>
        <w:spacing w:after="160" w:line="300"/>
        <w:ind w:left="360"/>
      </w:pPr>
      <w:r>
        <w:rPr>
          <w:i/>
          <w:iCs/>
          <w:color w:val="0C7A7A"/>
        </w:rPr>
        <w:t xml:space="preserve">Unlocks: </w:t>
      </w:r>
      <w:r>
        <w:rPr>
          <w:color w:val="333333"/>
        </w:rPr>
        <w:t xml:space="preserve">Clarifies the relationship between the graph products (measure) and Beyond the Map plus the convening practice (activate). If we claim measurement drives activation, we need to be able to say how. This is the analytical version of Sarah’s theory-of-change question in Part C, and the two should be answered together.</w:t>
      </w:r>
    </w:p>
    <w:p>
      <w:pPr>
        <w:pStyle w:val="Heading3"/>
        <w:spacing w:after="100" w:before="220"/>
      </w:pPr>
      <w:r>
        <w:t xml:space="preserve">Does the working definition include the non-human?</w:t>
      </w:r>
    </w:p>
    <w:p>
      <w:pPr>
        <w:spacing w:after="60" w:before="140" w:line="320"/>
      </w:pPr>
      <w:r>
        <w:rPr>
          <w:b/>
          <w:bCs/>
        </w:rPr>
        <w:t xml:space="preserve">Kristina’s web definition includes land and built infrastructure as members, not backdrop. Do we carry non-human nodes in the working definition, or keep the relational frame human-to-human with place as context?</w:t>
      </w:r>
    </w:p>
    <w:p>
      <w:pPr>
        <w:spacing w:after="40" w:line="300"/>
        <w:ind w:left="360"/>
      </w:pPr>
      <w:r>
        <w:rPr>
          <w:i/>
          <w:iCs/>
          <w:color w:val="0C7A7A"/>
        </w:rPr>
        <w:t xml:space="preserve">Routed to: </w:t>
      </w:r>
      <w:r>
        <w:rPr>
          <w:color w:val="333333"/>
        </w:rPr>
        <w:t xml:space="preserve">Us, with Kristina as the strongest advocate to consult.</w:t>
      </w:r>
    </w:p>
    <w:p>
      <w:pPr>
        <w:spacing w:after="160" w:line="300"/>
        <w:ind w:left="360"/>
      </w:pPr>
      <w:r>
        <w:rPr>
          <w:i/>
          <w:iCs/>
          <w:color w:val="0C7A7A"/>
        </w:rPr>
        <w:t xml:space="preserve">Unlocks: </w:t>
      </w:r>
      <w:r>
        <w:rPr>
          <w:color w:val="333333"/>
        </w:rPr>
        <w:t xml:space="preserve">Determines whether watershed, land, and seasonal nodes are first-class in the model or excluded. This is distinctive to the TNN cohort and aligns with C4C’s water and conservation roots — but it also makes the graph harder to bound and measure. Worth a deliberate yes or no rather than drift.</w:t>
      </w:r>
    </w:p>
    <w:p>
      <w:pPr>
        <w:pStyle w:val="Heading3"/>
        <w:spacing w:after="100" w:before="220"/>
      </w:pPr>
      <w:r>
        <w:t xml:space="preserve">Do we separate the descriptive layer from the argument layer?</w:t>
      </w:r>
    </w:p>
    <w:p>
      <w:pPr>
        <w:spacing w:after="60" w:before="140" w:line="320"/>
      </w:pPr>
      <w:r>
        <w:rPr>
          <w:b/>
          <w:bCs/>
        </w:rPr>
        <w:t xml:space="preserve">Roughly nine stickies argue why the neighborhood is the right unit; the rest describe what one is. Do we split these into two outputs — a working definition and a case for the unit — or keep them together?</w:t>
      </w:r>
    </w:p>
    <w:p>
      <w:pPr>
        <w:spacing w:after="40" w:line="300"/>
        <w:ind w:left="360"/>
      </w:pPr>
      <w:r>
        <w:rPr>
          <w:i/>
          <w:iCs/>
          <w:color w:val="0C7A7A"/>
        </w:rPr>
        <w:t xml:space="preserve">Routed to: </w:t>
      </w:r>
      <w:r>
        <w:rPr>
          <w:color w:val="333333"/>
        </w:rPr>
        <w:t xml:space="preserve">Us.</w:t>
      </w:r>
    </w:p>
    <w:p>
      <w:pPr>
        <w:spacing w:after="160" w:line="300"/>
        <w:ind w:left="360"/>
      </w:pPr>
      <w:r>
        <w:rPr>
          <w:i/>
          <w:iCs/>
          <w:color w:val="0C7A7A"/>
        </w:rPr>
        <w:t xml:space="preserve">Unlocks: </w:t>
      </w:r>
      <w:r>
        <w:rPr>
          <w:color w:val="333333"/>
        </w:rPr>
        <w:t xml:space="preserve">Keeps the definitional work clean. The “why neighborhoods” argument (Tim’s meta-layer) is persuasive material for recruiting and positioning; the “what is a neighborhood” synthesis is analytical material. Mixing them weakens both. Splitting them gives us two usable artifacts instead of one muddy one.</w:t>
      </w:r>
    </w:p>
    <w:p>
      <w:pPr>
        <w:pBdr>
          <w:bottom w:val="single" w:color="BBBBBB" w:sz="6" w:space="6"/>
        </w:pBdr>
        <w:spacing w:after="200" w:before="120"/>
      </w:pPr>
      <w:r>
        <w:t xml:space="preserve"/>
      </w:r>
    </w:p>
    <w:p>
      <w:pPr>
        <w:pStyle w:val="Heading1"/>
        <w:spacing w:after="200" w:before="360"/>
      </w:pPr>
      <w:r>
        <w:t xml:space="preserve">Part C — Sarah’s reframe: what kind of network is TNN?</w:t>
      </w:r>
    </w:p>
    <w:p>
      <w:pPr>
        <w:spacing w:after="160" w:line="320"/>
      </w:pPr>
      <w:r>
        <w:t xml:space="preserve">These are strategic and ultimately client-facing. Sarah’s closing notes argued that the more important question is not what a neighborhood is, but what kind of network TNN itself is. The questions below are the ones that conversation needs. They should be worked internally first, then a subset taken to the client.</w:t>
      </w:r>
    </w:p>
    <w:p>
      <w:pPr>
        <w:pStyle w:val="Heading3"/>
        <w:spacing w:after="100" w:before="220"/>
      </w:pPr>
      <w:r>
        <w:t xml:space="preserve">Which of the three is TNN?</w:t>
      </w:r>
    </w:p>
    <w:p>
      <w:pPr>
        <w:spacing w:after="60" w:before="140" w:line="320"/>
      </w:pPr>
      <w:r>
        <w:rPr>
          <w:b/>
          <w:bCs/>
        </w:rPr>
        <w:t xml:space="preserve">Does TNN see itself as a neighborhood network (place-based), a community of practice (purpose-based), or a place-based learning network that is trying to be both?</w:t>
      </w:r>
    </w:p>
    <w:p>
      <w:pPr>
        <w:spacing w:after="40" w:line="300"/>
        <w:ind w:left="360"/>
      </w:pPr>
      <w:r>
        <w:rPr>
          <w:i/>
          <w:iCs/>
          <w:color w:val="0C7A7A"/>
        </w:rPr>
        <w:t xml:space="preserve">Routed to: </w:t>
      </w:r>
      <w:r>
        <w:rPr>
          <w:color w:val="333333"/>
        </w:rPr>
        <w:t xml:space="preserve">The client, after we form our own read.</w:t>
      </w:r>
    </w:p>
    <w:p>
      <w:pPr>
        <w:spacing w:after="160" w:line="300"/>
        <w:ind w:left="360"/>
      </w:pPr>
      <w:r>
        <w:rPr>
          <w:i/>
          <w:iCs/>
          <w:color w:val="0C7A7A"/>
        </w:rPr>
        <w:t xml:space="preserve">Unlocks: </w:t>
      </w:r>
      <w:r>
        <w:rPr>
          <w:color w:val="333333"/>
        </w:rPr>
        <w:t xml:space="preserve">Sarah names this as the question that shapes everything — how they recruit members, what they measure, how they report impact. It is the root question. Every other question in Part C depends on the answer.</w:t>
      </w:r>
    </w:p>
    <w:p>
      <w:pPr>
        <w:pStyle w:val="Heading3"/>
        <w:spacing w:after="100" w:before="220"/>
      </w:pPr>
      <w:r>
        <w:t xml:space="preserve">Which way does the causation run?</w:t>
      </w:r>
    </w:p>
    <w:p>
      <w:pPr>
        <w:spacing w:after="60" w:before="140" w:line="320"/>
      </w:pPr>
      <w:r>
        <w:rPr>
          <w:b/>
          <w:bCs/>
        </w:rPr>
        <w:t xml:space="preserve">If TNN is both, which is the theory of change — strong network produces better practitioners produces better neighborhood outcomes, or deep neighborhood knowledge produces stronger collaboration produces collective impact on place?</w:t>
      </w:r>
    </w:p>
    <w:p>
      <w:pPr>
        <w:spacing w:after="40" w:line="300"/>
        <w:ind w:left="360"/>
      </w:pPr>
      <w:r>
        <w:rPr>
          <w:i/>
          <w:iCs/>
          <w:color w:val="0C7A7A"/>
        </w:rPr>
        <w:t xml:space="preserve">Routed to: </w:t>
      </w:r>
      <w:r>
        <w:rPr>
          <w:color w:val="333333"/>
        </w:rPr>
        <w:t xml:space="preserve">The client; we should have a hypothesis ready.</w:t>
      </w:r>
    </w:p>
    <w:p>
      <w:pPr>
        <w:spacing w:after="160" w:line="300"/>
        <w:ind w:left="360"/>
      </w:pPr>
      <w:r>
        <w:rPr>
          <w:i/>
          <w:iCs/>
          <w:color w:val="0C7A7A"/>
        </w:rPr>
        <w:t xml:space="preserve">Unlocks: </w:t>
      </w:r>
      <w:r>
        <w:rPr>
          <w:color w:val="333333"/>
        </w:rPr>
        <w:t xml:space="preserve">Determines which measures are primary and which are contextual. Community-of-practice-leads points to KESC, skills alignment, peer-learning ties as primary. Place-leads points to mobility, health, housing stability, collective efficacy as primary. Right now the survey and snapshot measure the practice layer well and the place layer barely at all — so the answer also tells us what is currently missing.</w:t>
      </w:r>
    </w:p>
    <w:p>
      <w:pPr>
        <w:pStyle w:val="Heading3"/>
        <w:spacing w:after="100" w:before="220"/>
      </w:pPr>
      <w:r>
        <w:t xml:space="preserve">What would it take to measure the neighborhood layer?</w:t>
      </w:r>
    </w:p>
    <w:p>
      <w:pPr>
        <w:spacing w:after="60" w:before="140" w:line="320"/>
      </w:pPr>
      <w:r>
        <w:rPr>
          <w:b/>
          <w:bCs/>
        </w:rPr>
        <w:t xml:space="preserve">If place outcomes matter to TNN, what would we need — which geographies, which indicators, which existing datasets — to actually measure whether places are getting better?</w:t>
      </w:r>
    </w:p>
    <w:p>
      <w:pPr>
        <w:spacing w:after="40" w:line="300"/>
        <w:ind w:left="360"/>
      </w:pPr>
      <w:r>
        <w:rPr>
          <w:i/>
          <w:iCs/>
          <w:color w:val="0C7A7A"/>
        </w:rPr>
        <w:t xml:space="preserve">Routed to: </w:t>
      </w:r>
      <w:r>
        <w:rPr>
          <w:color w:val="333333"/>
        </w:rPr>
        <w:t xml:space="preserve">Us first (feasibility), then the client (appetite).</w:t>
      </w:r>
    </w:p>
    <w:p>
      <w:pPr>
        <w:spacing w:after="160" w:line="300"/>
        <w:ind w:left="360"/>
      </w:pPr>
      <w:r>
        <w:rPr>
          <w:i/>
          <w:iCs/>
          <w:color w:val="0C7A7A"/>
        </w:rPr>
        <w:t xml:space="preserve">Unlocks: </w:t>
      </w:r>
      <w:r>
        <w:rPr>
          <w:color w:val="333333"/>
        </w:rPr>
        <w:t xml:space="preserve">Turns Sarah’s observation that the neighborhood layer is absent into a scoped piece of work. Names whether the right lenses (Sampson, Opportunity Atlas, County Health Rankings) are usable for TNN’s specific geographies, and what it would cost to stand up. This is a potential expansion of the engagement.</w:t>
      </w:r>
    </w:p>
    <w:p>
      <w:pPr>
        <w:pStyle w:val="Heading3"/>
        <w:spacing w:after="100" w:before="220"/>
      </w:pPr>
      <w:r>
        <w:t xml:space="preserve">Does the client want the oppressive-history dimension named?</w:t>
      </w:r>
    </w:p>
    <w:p>
      <w:pPr>
        <w:spacing w:after="60" w:before="140" w:line="320"/>
      </w:pPr>
      <w:r>
        <w:rPr>
          <w:b/>
          <w:bCs/>
        </w:rPr>
        <w:t xml:space="preserve">Breakout group two named that geographic boundaries are rooted in oppressive history. Does TNN want that in how it defines and measures neighborhood, or held as context?</w:t>
      </w:r>
    </w:p>
    <w:p>
      <w:pPr>
        <w:spacing w:after="40" w:line="300"/>
        <w:ind w:left="360"/>
      </w:pPr>
      <w:r>
        <w:rPr>
          <w:i/>
          <w:iCs/>
          <w:color w:val="0C7A7A"/>
        </w:rPr>
        <w:t xml:space="preserve">Routed to: </w:t>
      </w:r>
      <w:r>
        <w:rPr>
          <w:color w:val="333333"/>
        </w:rPr>
        <w:t xml:space="preserve">Us first — this is a sensitivity and positioning judgment — then the client if appropriate.</w:t>
      </w:r>
    </w:p>
    <w:p>
      <w:pPr>
        <w:spacing w:after="160" w:line="300"/>
        <w:ind w:left="360"/>
      </w:pPr>
      <w:r>
        <w:rPr>
          <w:i/>
          <w:iCs/>
          <w:color w:val="0C7A7A"/>
        </w:rPr>
        <w:t xml:space="preserve">Unlocks: </w:t>
      </w:r>
      <w:r>
        <w:rPr>
          <w:color w:val="333333"/>
        </w:rPr>
        <w:t xml:space="preserve">A measurement frame that ignores how boundaries were drawn will reproduce them. A frame that names it takes on harder, more political work. The client’s appetite for this shapes what kind of partner they want C4C to be. Better to know before proposing a measurement approach than after.</w:t>
      </w:r>
    </w:p>
    <w:p>
      <w:pPr>
        <w:pBdr>
          <w:bottom w:val="single" w:color="BBBBBB" w:sz="6" w:space="6"/>
        </w:pBdr>
        <w:spacing w:after="200" w:before="120"/>
      </w:pPr>
      <w:r>
        <w:t xml:space="preserve"/>
      </w:r>
    </w:p>
    <w:p>
      <w:pPr>
        <w:pStyle w:val="Heading1"/>
        <w:spacing w:after="200" w:before="360"/>
      </w:pPr>
      <w:r>
        <w:t xml:space="preserve">One thing to decide first</w:t>
      </w:r>
    </w:p>
    <w:p>
      <w:pPr>
        <w:spacing w:after="160" w:line="320"/>
      </w:pPr>
      <w:r>
        <w:t xml:space="preserve">Most of these questions can wait. One cannot, because the rest depend on it:</w:t>
      </w:r>
    </w:p>
    <w:p>
      <w:pPr>
        <w:pBdr>
          <w:left w:val="single" w:color="EB9001" w:sz="18" w:space="12"/>
        </w:pBdr>
        <w:spacing w:after="180" w:before="120" w:line="320"/>
        <w:ind w:left="360" w:right="360"/>
      </w:pPr>
      <w:r>
        <w:t xml:space="preserve">Is the TNN “neighborhood” drawn around a place or around a person’s ties?</w:t>
      </w:r>
    </w:p>
    <w:p>
      <w:pPr>
        <w:spacing w:after="160" w:line="320"/>
      </w:pPr>
      <w:r>
        <w:t xml:space="preserve">Sarah’s headline says ties. Breakout group two says the boundary is what makes responsibility possible. The multidimensionality finding says people hold several at once. Until that is settled, the unit of analysis is unsettled — and the unit of analysis determines what every graph measures, what every client deliverable shows, and which of Sarah’s three network types TNN can credibly claim to be. It is worth the two of us taking it first, before anything goes to the client.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825B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C7A7A"/>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TNN 2026 Activity 1 Probing Questions</dc:title>
  <dc:creator>Connecting for Change</dc:creator>
  <dc:description>Companion to the v4 synthesis memo</dc:description>
  <cp:lastModifiedBy>Un-named</cp:lastModifiedBy>
  <cp:revision>1</cp:revision>
  <dcterms:created xsi:type="dcterms:W3CDTF">2026-05-28T15:29:25.269Z</dcterms:created>
  <dcterms:modified xsi:type="dcterms:W3CDTF">2026-05-28T15:29:25.269Z</dcterms:modified>
</cp:coreProperties>
</file>

<file path=docProps/custom.xml><?xml version="1.0" encoding="utf-8"?>
<Properties xmlns="http://schemas.openxmlformats.org/officeDocument/2006/custom-properties" xmlns:vt="http://schemas.openxmlformats.org/officeDocument/2006/docPropsVTypes"/>
</file>