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13E3" w14:textId="77777777" w:rsidR="00EA0927" w:rsidRPr="00EA0927" w:rsidRDefault="00EA0927" w:rsidP="00EA0927">
      <w:pPr>
        <w:rPr>
          <w:b/>
          <w:bCs/>
          <w:lang/>
        </w:rPr>
      </w:pPr>
      <w:r w:rsidRPr="00EA0927">
        <w:rPr>
          <w:b/>
          <w:bCs/>
          <w:lang/>
        </w:rPr>
        <w:t>How IET Competences Are Written (The Framework)</w:t>
      </w:r>
    </w:p>
    <w:p w14:paraId="6EF2D5C9" w14:textId="77777777" w:rsidR="00EA0927" w:rsidRPr="00EA0927" w:rsidRDefault="00EA0927" w:rsidP="00EA0927">
      <w:pPr>
        <w:rPr>
          <w:lang/>
        </w:rPr>
      </w:pPr>
      <w:r w:rsidRPr="00EA0927">
        <w:rPr>
          <w:lang/>
        </w:rPr>
        <w:t xml:space="preserve">This tutorial is intended to provide clear and practical guidance on how IET competences should be written for a professional registration application. It explains the recommended structure by working through a single competence and demonstrating how the </w:t>
      </w:r>
      <w:r w:rsidRPr="00EA0927">
        <w:rPr>
          <w:b/>
          <w:bCs/>
          <w:lang/>
        </w:rPr>
        <w:t>STAR</w:t>
      </w:r>
      <w:r w:rsidRPr="00EA0927">
        <w:rPr>
          <w:lang/>
        </w:rPr>
        <w:t xml:space="preserve"> and </w:t>
      </w:r>
      <w:r w:rsidRPr="00EA0927">
        <w:rPr>
          <w:b/>
          <w:bCs/>
          <w:lang/>
        </w:rPr>
        <w:t>SMART</w:t>
      </w:r>
      <w:r w:rsidRPr="00EA0927">
        <w:rPr>
          <w:lang/>
        </w:rPr>
        <w:t xml:space="preserve"> techniques can be applied effectively.</w:t>
      </w:r>
    </w:p>
    <w:p w14:paraId="7500768E" w14:textId="77777777" w:rsidR="00EA0927" w:rsidRPr="00EA0927" w:rsidRDefault="00EA0927" w:rsidP="00EA0927">
      <w:pPr>
        <w:rPr>
          <w:lang/>
        </w:rPr>
      </w:pPr>
      <w:r w:rsidRPr="00EA0927">
        <w:rPr>
          <w:lang/>
        </w:rPr>
        <w:t xml:space="preserve">To ensure the guidance is accurate and aligned with assessor expectations, the structure presented here is based on a detailed review of the official </w:t>
      </w:r>
      <w:r w:rsidRPr="00EA0927">
        <w:rPr>
          <w:b/>
          <w:bCs/>
          <w:lang/>
        </w:rPr>
        <w:t>UK-SPEC framework</w:t>
      </w:r>
      <w:r w:rsidRPr="00EA0927">
        <w:rPr>
          <w:lang/>
        </w:rPr>
        <w:t xml:space="preserve">, which is used by the IET for both </w:t>
      </w:r>
      <w:r w:rsidRPr="00EA0927">
        <w:rPr>
          <w:b/>
          <w:bCs/>
          <w:lang/>
        </w:rPr>
        <w:t>Chartered Engineer (CEng)</w:t>
      </w:r>
      <w:r w:rsidRPr="00EA0927">
        <w:rPr>
          <w:lang/>
        </w:rPr>
        <w:t xml:space="preserve"> and </w:t>
      </w:r>
      <w:r w:rsidRPr="00EA0927">
        <w:rPr>
          <w:b/>
          <w:bCs/>
          <w:lang/>
        </w:rPr>
        <w:t>Incorporated Engineer (IEng)</w:t>
      </w:r>
      <w:r w:rsidRPr="00EA0927">
        <w:rPr>
          <w:lang/>
        </w:rPr>
        <w:t xml:space="preserve"> registrations.</w:t>
      </w:r>
    </w:p>
    <w:p w14:paraId="2DD10D37" w14:textId="0277D2AF" w:rsidR="00EA0927" w:rsidRPr="00EA0927" w:rsidRDefault="00EA0927" w:rsidP="00EA0927">
      <w:pPr>
        <w:rPr>
          <w:lang/>
        </w:rPr>
      </w:pPr>
    </w:p>
    <w:p w14:paraId="47F4B28C" w14:textId="77777777" w:rsidR="00EA0927" w:rsidRPr="00EA0927" w:rsidRDefault="00EA0927" w:rsidP="00EA0927">
      <w:pPr>
        <w:rPr>
          <w:b/>
          <w:bCs/>
          <w:lang/>
        </w:rPr>
      </w:pPr>
      <w:r w:rsidRPr="00EA0927">
        <w:rPr>
          <w:b/>
          <w:bCs/>
          <w:lang/>
        </w:rPr>
        <w:t>1. Understanding the IET Competence Framework</w:t>
      </w:r>
    </w:p>
    <w:p w14:paraId="11728E36" w14:textId="77777777" w:rsidR="00EA0927" w:rsidRPr="00EA0927" w:rsidRDefault="00EA0927" w:rsidP="00EA0927">
      <w:pPr>
        <w:rPr>
          <w:lang/>
        </w:rPr>
      </w:pPr>
      <w:r w:rsidRPr="00EA0927">
        <w:rPr>
          <w:lang/>
        </w:rPr>
        <w:t xml:space="preserve">The IET assesses professional competence using the </w:t>
      </w:r>
      <w:r w:rsidRPr="00EA0927">
        <w:rPr>
          <w:b/>
          <w:bCs/>
          <w:lang/>
        </w:rPr>
        <w:t>UK-SPEC (UK Standard for Professional Engineering Competence)</w:t>
      </w:r>
      <w:r w:rsidRPr="00EA0927">
        <w:rPr>
          <w:lang/>
        </w:rPr>
        <w:t xml:space="preserve"> framework. These competences are not simply a list of skills; they are defined standards that you must clearly demonstrate through evidence from your professional experience.</w:t>
      </w:r>
    </w:p>
    <w:p w14:paraId="72C66FED" w14:textId="77777777" w:rsidR="00EA0927" w:rsidRPr="00EA0927" w:rsidRDefault="00EA0927" w:rsidP="00EA0927">
      <w:pPr>
        <w:rPr>
          <w:lang/>
        </w:rPr>
      </w:pPr>
      <w:r w:rsidRPr="00EA0927">
        <w:rPr>
          <w:lang/>
        </w:rPr>
        <w:t xml:space="preserve">The framework is divided into five main competence areas, labelled </w:t>
      </w:r>
      <w:r w:rsidRPr="00EA0927">
        <w:rPr>
          <w:b/>
          <w:bCs/>
          <w:lang/>
        </w:rPr>
        <w:t>A to E</w:t>
      </w:r>
      <w:r w:rsidRPr="00EA0927">
        <w:rPr>
          <w:lang/>
        </w:rPr>
        <w:t>:</w:t>
      </w:r>
    </w:p>
    <w:p w14:paraId="41C0CDC9" w14:textId="77777777" w:rsidR="00EA0927" w:rsidRPr="00EA0927" w:rsidRDefault="00EA0927" w:rsidP="00EA0927">
      <w:pPr>
        <w:numPr>
          <w:ilvl w:val="0"/>
          <w:numId w:val="10"/>
        </w:numPr>
        <w:rPr>
          <w:lang/>
        </w:rPr>
      </w:pPr>
      <w:r w:rsidRPr="00EA0927">
        <w:rPr>
          <w:b/>
          <w:bCs/>
          <w:lang/>
        </w:rPr>
        <w:t>A – Knowledge and Understanding</w:t>
      </w:r>
      <w:r w:rsidRPr="00EA0927">
        <w:rPr>
          <w:lang/>
        </w:rPr>
        <w:br/>
        <w:t>Applying appropriate technical knowledge to solve engineering problems.</w:t>
      </w:r>
    </w:p>
    <w:p w14:paraId="1CA36712" w14:textId="77777777" w:rsidR="00EA0927" w:rsidRPr="00EA0927" w:rsidRDefault="00EA0927" w:rsidP="00EA0927">
      <w:pPr>
        <w:numPr>
          <w:ilvl w:val="0"/>
          <w:numId w:val="10"/>
        </w:numPr>
        <w:rPr>
          <w:lang/>
        </w:rPr>
      </w:pPr>
      <w:r w:rsidRPr="00EA0927">
        <w:rPr>
          <w:b/>
          <w:bCs/>
          <w:lang/>
        </w:rPr>
        <w:t>B – Design and Development</w:t>
      </w:r>
      <w:r w:rsidRPr="00EA0927">
        <w:rPr>
          <w:lang/>
        </w:rPr>
        <w:br/>
        <w:t>Using engineering principles to design, develop, and implement solutions.</w:t>
      </w:r>
    </w:p>
    <w:p w14:paraId="43B5E937" w14:textId="77777777" w:rsidR="00EA0927" w:rsidRPr="00EA0927" w:rsidRDefault="00EA0927" w:rsidP="00EA0927">
      <w:pPr>
        <w:numPr>
          <w:ilvl w:val="0"/>
          <w:numId w:val="10"/>
        </w:numPr>
        <w:rPr>
          <w:lang/>
        </w:rPr>
      </w:pPr>
      <w:r w:rsidRPr="00EA0927">
        <w:rPr>
          <w:b/>
          <w:bCs/>
          <w:lang/>
        </w:rPr>
        <w:t>C – Responsibility, Management, or Leadership</w:t>
      </w:r>
      <w:r w:rsidRPr="00EA0927">
        <w:rPr>
          <w:lang/>
        </w:rPr>
        <w:br/>
        <w:t>Planning, organising, and controlling tasks, people, and resources.</w:t>
      </w:r>
    </w:p>
    <w:p w14:paraId="34C0CE5B" w14:textId="77777777" w:rsidR="00EA0927" w:rsidRPr="00EA0927" w:rsidRDefault="00EA0927" w:rsidP="00EA0927">
      <w:pPr>
        <w:numPr>
          <w:ilvl w:val="0"/>
          <w:numId w:val="10"/>
        </w:numPr>
        <w:rPr>
          <w:lang/>
        </w:rPr>
      </w:pPr>
      <w:r w:rsidRPr="00EA0927">
        <w:rPr>
          <w:b/>
          <w:bCs/>
          <w:lang/>
        </w:rPr>
        <w:t>D – Communication and Interpersonal Skills</w:t>
      </w:r>
      <w:r w:rsidRPr="00EA0927">
        <w:rPr>
          <w:lang/>
        </w:rPr>
        <w:br/>
        <w:t>Communicating effectively with colleagues, stakeholders, and wider audiences.</w:t>
      </w:r>
    </w:p>
    <w:p w14:paraId="63B937B2" w14:textId="77777777" w:rsidR="00EA0927" w:rsidRPr="00EA0927" w:rsidRDefault="00EA0927" w:rsidP="00EA0927">
      <w:pPr>
        <w:numPr>
          <w:ilvl w:val="0"/>
          <w:numId w:val="10"/>
        </w:numPr>
        <w:rPr>
          <w:lang/>
        </w:rPr>
      </w:pPr>
      <w:r w:rsidRPr="00EA0927">
        <w:rPr>
          <w:b/>
          <w:bCs/>
          <w:lang/>
        </w:rPr>
        <w:t>E – Professional Commitment</w:t>
      </w:r>
      <w:r w:rsidRPr="00EA0927">
        <w:rPr>
          <w:lang/>
        </w:rPr>
        <w:br/>
        <w:t>Demonstrating ethics, safety awareness, sustainability, and continuing professional development.</w:t>
      </w:r>
    </w:p>
    <w:p w14:paraId="539AA22C" w14:textId="77777777" w:rsidR="00EA0927" w:rsidRPr="00EA0927" w:rsidRDefault="00EA0927" w:rsidP="00EA0927">
      <w:pPr>
        <w:rPr>
          <w:lang/>
        </w:rPr>
      </w:pPr>
      <w:r w:rsidRPr="00EA0927">
        <w:rPr>
          <w:lang/>
        </w:rPr>
        <w:t xml:space="preserve">When preparing your application, you are required to provide clear evidence for each relevant competence. The IET strongly recommends using the </w:t>
      </w:r>
      <w:r w:rsidRPr="00EA0927">
        <w:rPr>
          <w:b/>
          <w:bCs/>
          <w:lang/>
        </w:rPr>
        <w:t>STAR technique</w:t>
      </w:r>
      <w:r w:rsidRPr="00EA0927">
        <w:rPr>
          <w:lang/>
        </w:rPr>
        <w:t xml:space="preserve"> to structure your narrative and ensuring that your objectives and outcomes align with </w:t>
      </w:r>
      <w:r w:rsidRPr="00EA0927">
        <w:rPr>
          <w:b/>
          <w:bCs/>
          <w:lang/>
        </w:rPr>
        <w:t>SMART principles</w:t>
      </w:r>
      <w:r w:rsidRPr="00EA0927">
        <w:rPr>
          <w:lang/>
        </w:rPr>
        <w:t>.</w:t>
      </w:r>
    </w:p>
    <w:p w14:paraId="6E4C4B26" w14:textId="49DA23B8" w:rsidR="00EA0927" w:rsidRDefault="00EA0927" w:rsidP="00EA0927">
      <w:pPr>
        <w:rPr>
          <w:lang w:val="en-US"/>
        </w:rPr>
      </w:pPr>
    </w:p>
    <w:p w14:paraId="2FC48C8C" w14:textId="77777777" w:rsidR="00EA0927" w:rsidRDefault="00EA0927" w:rsidP="00EA0927">
      <w:pPr>
        <w:rPr>
          <w:lang w:val="en-US"/>
        </w:rPr>
      </w:pPr>
    </w:p>
    <w:p w14:paraId="0BDF9CFB" w14:textId="77777777" w:rsidR="00EA0927" w:rsidRDefault="00EA0927" w:rsidP="00EA0927">
      <w:pPr>
        <w:rPr>
          <w:lang w:val="en-US"/>
        </w:rPr>
      </w:pPr>
    </w:p>
    <w:p w14:paraId="40417A1F" w14:textId="77777777" w:rsidR="00EA0927" w:rsidRDefault="00EA0927" w:rsidP="00EA0927">
      <w:pPr>
        <w:rPr>
          <w:lang w:val="en-US"/>
        </w:rPr>
      </w:pPr>
    </w:p>
    <w:p w14:paraId="56EC44B5" w14:textId="77777777" w:rsidR="00EA0927" w:rsidRDefault="00EA0927" w:rsidP="00EA0927">
      <w:pPr>
        <w:rPr>
          <w:lang w:val="en-US"/>
        </w:rPr>
      </w:pPr>
    </w:p>
    <w:p w14:paraId="51AAAE03" w14:textId="77777777" w:rsidR="00EA0927" w:rsidRDefault="00EA0927" w:rsidP="00EA0927">
      <w:pPr>
        <w:rPr>
          <w:lang w:val="en-US"/>
        </w:rPr>
      </w:pPr>
    </w:p>
    <w:p w14:paraId="5A6CC5A7" w14:textId="77777777" w:rsidR="00EA0927" w:rsidRDefault="00EA0927" w:rsidP="00EA0927">
      <w:pPr>
        <w:rPr>
          <w:lang w:val="en-US"/>
        </w:rPr>
      </w:pPr>
    </w:p>
    <w:p w14:paraId="5E4821EA" w14:textId="77777777" w:rsidR="00EA0927" w:rsidRPr="00EA0927" w:rsidRDefault="00EA0927" w:rsidP="00EA0927">
      <w:pPr>
        <w:rPr>
          <w:lang w:val="en-US"/>
        </w:rPr>
      </w:pPr>
    </w:p>
    <w:p w14:paraId="7FEBD07C" w14:textId="77777777" w:rsidR="00EA0927" w:rsidRPr="00EA0927" w:rsidRDefault="00EA0927" w:rsidP="00EA0927">
      <w:pPr>
        <w:rPr>
          <w:b/>
          <w:bCs/>
          <w:lang/>
        </w:rPr>
      </w:pPr>
      <w:r w:rsidRPr="00EA0927">
        <w:rPr>
          <w:b/>
          <w:bCs/>
          <w:lang/>
        </w:rPr>
        <w:lastRenderedPageBreak/>
        <w:t>2. Structuring a Competence Using STAR and SMART</w:t>
      </w:r>
    </w:p>
    <w:p w14:paraId="14AA239B" w14:textId="77777777" w:rsidR="00EA0927" w:rsidRPr="00EA0927" w:rsidRDefault="00EA0927" w:rsidP="00EA0927">
      <w:pPr>
        <w:rPr>
          <w:lang/>
        </w:rPr>
      </w:pPr>
      <w:r w:rsidRPr="00EA0927">
        <w:rPr>
          <w:lang/>
        </w:rPr>
        <w:t xml:space="preserve">The IET expects applicants to clearly describe their </w:t>
      </w:r>
      <w:r w:rsidRPr="00EA0927">
        <w:rPr>
          <w:b/>
          <w:bCs/>
          <w:lang/>
        </w:rPr>
        <w:t>personal contribution</w:t>
      </w:r>
      <w:r w:rsidRPr="00EA0927">
        <w:rPr>
          <w:lang/>
        </w:rPr>
        <w:t xml:space="preserve">, using “I” rather than “we.” This allows assessors to understand exactly what </w:t>
      </w:r>
      <w:r w:rsidRPr="00EA0927">
        <w:rPr>
          <w:i/>
          <w:iCs/>
          <w:lang/>
        </w:rPr>
        <w:t>you</w:t>
      </w:r>
      <w:r w:rsidRPr="00EA0927">
        <w:rPr>
          <w:lang/>
        </w:rPr>
        <w:t xml:space="preserve"> did and the level of responsibility you held.</w:t>
      </w:r>
    </w:p>
    <w:p w14:paraId="5E249CD7" w14:textId="77777777" w:rsidR="00EA0927" w:rsidRPr="00EA0927" w:rsidRDefault="00EA0927" w:rsidP="00EA0927">
      <w:pPr>
        <w:numPr>
          <w:ilvl w:val="0"/>
          <w:numId w:val="11"/>
        </w:numPr>
        <w:rPr>
          <w:lang/>
        </w:rPr>
      </w:pPr>
      <w:r w:rsidRPr="00EA0927">
        <w:rPr>
          <w:b/>
          <w:bCs/>
          <w:lang/>
        </w:rPr>
        <w:t>STAR</w:t>
      </w:r>
      <w:r w:rsidRPr="00EA0927">
        <w:rPr>
          <w:lang/>
        </w:rPr>
        <w:t xml:space="preserve"> helps structure your example as a clear and logical story that an assessor can easily follow.</w:t>
      </w:r>
    </w:p>
    <w:p w14:paraId="3DA1D266" w14:textId="77777777" w:rsidR="00EA0927" w:rsidRPr="00EA0927" w:rsidRDefault="00EA0927" w:rsidP="00EA0927">
      <w:pPr>
        <w:numPr>
          <w:ilvl w:val="0"/>
          <w:numId w:val="11"/>
        </w:numPr>
        <w:rPr>
          <w:lang/>
        </w:rPr>
      </w:pPr>
      <w:r w:rsidRPr="00EA0927">
        <w:rPr>
          <w:b/>
          <w:bCs/>
          <w:lang/>
        </w:rPr>
        <w:t>SMART</w:t>
      </w:r>
      <w:r w:rsidRPr="00EA0927">
        <w:rPr>
          <w:lang/>
        </w:rPr>
        <w:t xml:space="preserve"> strengthens your evidence by showing that your objectives and results were specific, measurable, and meaningful.</w:t>
      </w:r>
    </w:p>
    <w:p w14:paraId="04117B49" w14:textId="77777777" w:rsidR="00EA0927" w:rsidRPr="00EA0927" w:rsidRDefault="00EA0927" w:rsidP="00EA0927">
      <w:pPr>
        <w:rPr>
          <w:b/>
          <w:bCs/>
          <w:lang/>
        </w:rPr>
      </w:pPr>
      <w:r w:rsidRPr="00EA0927">
        <w:rPr>
          <w:b/>
          <w:bCs/>
          <w:lang/>
        </w:rPr>
        <w:t>Selected Competence: C2</w:t>
      </w:r>
    </w:p>
    <w:p w14:paraId="2DB34609" w14:textId="77777777" w:rsidR="00EA0927" w:rsidRPr="00EA0927" w:rsidRDefault="00EA0927" w:rsidP="00EA0927">
      <w:pPr>
        <w:rPr>
          <w:lang/>
        </w:rPr>
      </w:pPr>
      <w:r w:rsidRPr="00EA0927">
        <w:rPr>
          <w:b/>
          <w:bCs/>
          <w:lang/>
        </w:rPr>
        <w:t>Official Definition:</w:t>
      </w:r>
      <w:r w:rsidRPr="00EA0927">
        <w:rPr>
          <w:lang/>
        </w:rPr>
        <w:br/>
      </w:r>
      <w:r w:rsidRPr="00EA0927">
        <w:rPr>
          <w:i/>
          <w:iCs/>
          <w:lang/>
        </w:rPr>
        <w:t>“Plan, budget, organise, direct and control tasks, people and resources.”</w:t>
      </w:r>
    </w:p>
    <w:p w14:paraId="519288AE" w14:textId="77777777" w:rsidR="00EA0927" w:rsidRPr="00EA0927" w:rsidRDefault="00EA0927" w:rsidP="00EA0927">
      <w:pPr>
        <w:rPr>
          <w:lang/>
        </w:rPr>
      </w:pPr>
      <w:r w:rsidRPr="00EA0927">
        <w:rPr>
          <w:lang/>
        </w:rPr>
        <w:t>This competence is particularly well suited to demonstrating both techniques, as effective planning relies on SMART objectives, while managing and controlling resources benefits from a clear STAR-based narrative.</w:t>
      </w:r>
    </w:p>
    <w:p w14:paraId="7D926B00" w14:textId="509920C3" w:rsidR="00EA0927" w:rsidRPr="00EA0927" w:rsidRDefault="00EA0927" w:rsidP="00EA0927">
      <w:pPr>
        <w:rPr>
          <w:lang/>
        </w:rPr>
      </w:pPr>
    </w:p>
    <w:p w14:paraId="751FDF80" w14:textId="77777777" w:rsidR="00EA0927" w:rsidRPr="00EA0927" w:rsidRDefault="00EA0927" w:rsidP="00EA0927">
      <w:pPr>
        <w:rPr>
          <w:b/>
          <w:bCs/>
          <w:lang/>
        </w:rPr>
      </w:pPr>
      <w:r w:rsidRPr="00EA0927">
        <w:rPr>
          <w:b/>
          <w:bCs/>
          <w:lang/>
        </w:rPr>
        <w:t>3. Worked Example (Drafted)</w:t>
      </w:r>
    </w:p>
    <w:p w14:paraId="62CE1F1E" w14:textId="77777777" w:rsidR="00EA0927" w:rsidRPr="00EA0927" w:rsidRDefault="00EA0927" w:rsidP="00EA0927">
      <w:pPr>
        <w:rPr>
          <w:b/>
          <w:bCs/>
          <w:lang/>
        </w:rPr>
      </w:pPr>
      <w:r w:rsidRPr="00EA0927">
        <w:rPr>
          <w:b/>
          <w:bCs/>
          <w:lang/>
        </w:rPr>
        <w:t>Situation – The Context</w:t>
      </w:r>
    </w:p>
    <w:p w14:paraId="188CB837" w14:textId="77777777" w:rsidR="00EA0927" w:rsidRPr="00EA0927" w:rsidRDefault="00EA0927" w:rsidP="00EA0927">
      <w:pPr>
        <w:rPr>
          <w:lang/>
        </w:rPr>
      </w:pPr>
      <w:r w:rsidRPr="00EA0927">
        <w:rPr>
          <w:lang/>
        </w:rPr>
        <w:t xml:space="preserve">In my role as Lead Engineer for the </w:t>
      </w:r>
      <w:r w:rsidRPr="00EA0927">
        <w:rPr>
          <w:b/>
          <w:bCs/>
          <w:lang/>
        </w:rPr>
        <w:t>[Project Name] upgrade</w:t>
      </w:r>
      <w:r w:rsidRPr="00EA0927">
        <w:rPr>
          <w:lang/>
        </w:rPr>
        <w:t xml:space="preserve">, the project encountered a significant bottleneck during the testing phase. Each testing cycle was taking approximately </w:t>
      </w:r>
      <w:r w:rsidRPr="00EA0927">
        <w:rPr>
          <w:b/>
          <w:bCs/>
          <w:lang/>
        </w:rPr>
        <w:t>15 days</w:t>
      </w:r>
      <w:r w:rsidRPr="00EA0927">
        <w:rPr>
          <w:lang/>
        </w:rPr>
        <w:t>, which risked delaying final delivery to the client by nearly two weeks. This was especially critical, as the client was working to a strict regulatory deadline that could not be extended.</w:t>
      </w:r>
    </w:p>
    <w:p w14:paraId="6983C230" w14:textId="77777777" w:rsidR="00EA0927" w:rsidRPr="00EA0927" w:rsidRDefault="00EA0927" w:rsidP="00EA0927">
      <w:pPr>
        <w:rPr>
          <w:b/>
          <w:bCs/>
          <w:lang/>
        </w:rPr>
      </w:pPr>
      <w:r w:rsidRPr="00EA0927">
        <w:rPr>
          <w:b/>
          <w:bCs/>
          <w:lang/>
        </w:rPr>
        <w:t>Task – The SMART Objective</w:t>
      </w:r>
    </w:p>
    <w:p w14:paraId="7EBD8BB8" w14:textId="77777777" w:rsidR="00EA0927" w:rsidRPr="00EA0927" w:rsidRDefault="00EA0927" w:rsidP="00EA0927">
      <w:pPr>
        <w:rPr>
          <w:lang/>
        </w:rPr>
      </w:pPr>
      <w:r w:rsidRPr="00EA0927">
        <w:rPr>
          <w:lang/>
        </w:rPr>
        <w:t xml:space="preserve">I took responsibility for reorganising the testing workflow. My objective was </w:t>
      </w:r>
      <w:r w:rsidRPr="00EA0927">
        <w:rPr>
          <w:b/>
          <w:bCs/>
          <w:lang/>
        </w:rPr>
        <w:t>specific and measurable</w:t>
      </w:r>
      <w:r w:rsidRPr="00EA0927">
        <w:rPr>
          <w:lang/>
        </w:rPr>
        <w:t xml:space="preserve">: to reduce the testing cycle from </w:t>
      </w:r>
      <w:r w:rsidRPr="00EA0927">
        <w:rPr>
          <w:b/>
          <w:bCs/>
          <w:lang/>
        </w:rPr>
        <w:t>15 days to 10 days</w:t>
      </w:r>
      <w:r w:rsidRPr="00EA0927">
        <w:rPr>
          <w:lang/>
        </w:rPr>
        <w:t xml:space="preserve"> (a reduction of approximately </w:t>
      </w:r>
      <w:r w:rsidRPr="00EA0927">
        <w:rPr>
          <w:b/>
          <w:bCs/>
          <w:lang/>
        </w:rPr>
        <w:t>33%</w:t>
      </w:r>
      <w:r w:rsidRPr="00EA0927">
        <w:rPr>
          <w:lang/>
        </w:rPr>
        <w:t xml:space="preserve">) without compromising safety or compliance requirements. This improvement needed to be delivered within a </w:t>
      </w:r>
      <w:r w:rsidRPr="00EA0927">
        <w:rPr>
          <w:b/>
          <w:bCs/>
          <w:lang/>
        </w:rPr>
        <w:t>four-week timeframe</w:t>
      </w:r>
      <w:r w:rsidRPr="00EA0927">
        <w:rPr>
          <w:lang/>
        </w:rPr>
        <w:t xml:space="preserve"> to ensure the overall project remained on schedule.</w:t>
      </w:r>
    </w:p>
    <w:p w14:paraId="48A5FB58" w14:textId="77777777" w:rsidR="00EA0927" w:rsidRPr="00EA0927" w:rsidRDefault="00EA0927" w:rsidP="00EA0927">
      <w:pPr>
        <w:rPr>
          <w:b/>
          <w:bCs/>
          <w:lang/>
        </w:rPr>
      </w:pPr>
      <w:r w:rsidRPr="00EA0927">
        <w:rPr>
          <w:b/>
          <w:bCs/>
          <w:lang/>
        </w:rPr>
        <w:t>Action – What I Did</w:t>
      </w:r>
    </w:p>
    <w:p w14:paraId="22A82F38" w14:textId="77777777" w:rsidR="00EA0927" w:rsidRPr="00EA0927" w:rsidRDefault="00EA0927" w:rsidP="00EA0927">
      <w:pPr>
        <w:rPr>
          <w:lang/>
        </w:rPr>
      </w:pPr>
      <w:r w:rsidRPr="00EA0927">
        <w:rPr>
          <w:lang/>
        </w:rPr>
        <w:t>I began by reviewing the project’s critical path and identified that three key subsystem tests were being conducted sequentially rather than in parallel. I carried out a risk assessment to evaluate whether parallel testing could be safely introduced and confirmed that it would not introduce interference or compliance issues.</w:t>
      </w:r>
    </w:p>
    <w:p w14:paraId="29283F6D" w14:textId="77777777" w:rsidR="00EA0927" w:rsidRPr="00EA0927" w:rsidRDefault="00EA0927" w:rsidP="00EA0927">
      <w:pPr>
        <w:rPr>
          <w:lang/>
        </w:rPr>
      </w:pPr>
      <w:r w:rsidRPr="00EA0927">
        <w:rPr>
          <w:lang/>
        </w:rPr>
        <w:t>Following this, I revised the testing schedule and negotiated with the Operations Manager to secure two additional technicians to support parallel testing shifts. To improve coordination and oversight, I introduced daily stand-up meetings to monitor progress against the revised schedule. I also implemented a digital logging system to replace manual records, which significantly reduced administrative overhead.</w:t>
      </w:r>
    </w:p>
    <w:p w14:paraId="08160866" w14:textId="77777777" w:rsidR="00EA0927" w:rsidRPr="00EA0927" w:rsidRDefault="00EA0927" w:rsidP="00EA0927">
      <w:pPr>
        <w:rPr>
          <w:b/>
          <w:bCs/>
          <w:lang/>
        </w:rPr>
      </w:pPr>
      <w:r w:rsidRPr="00EA0927">
        <w:rPr>
          <w:b/>
          <w:bCs/>
          <w:lang/>
        </w:rPr>
        <w:t>Result – The Measurable Outcome</w:t>
      </w:r>
    </w:p>
    <w:p w14:paraId="504CF5B0" w14:textId="77777777" w:rsidR="00EA0927" w:rsidRPr="00EA0927" w:rsidRDefault="00EA0927" w:rsidP="00EA0927">
      <w:pPr>
        <w:rPr>
          <w:lang/>
        </w:rPr>
      </w:pPr>
      <w:r w:rsidRPr="00EA0927">
        <w:rPr>
          <w:lang/>
        </w:rPr>
        <w:lastRenderedPageBreak/>
        <w:t xml:space="preserve">As a direct result of these actions, the testing cycle was completed in </w:t>
      </w:r>
      <w:r w:rsidRPr="00EA0927">
        <w:rPr>
          <w:b/>
          <w:bCs/>
          <w:lang/>
        </w:rPr>
        <w:t>9 days</w:t>
      </w:r>
      <w:r w:rsidRPr="00EA0927">
        <w:rPr>
          <w:lang/>
        </w:rPr>
        <w:t xml:space="preserve">, exceeding the original target of 10 days. The project was delivered </w:t>
      </w:r>
      <w:r w:rsidRPr="00EA0927">
        <w:rPr>
          <w:b/>
          <w:bCs/>
          <w:lang/>
        </w:rPr>
        <w:t>three days ahead of the regulatory deadline</w:t>
      </w:r>
      <w:r w:rsidRPr="00EA0927">
        <w:rPr>
          <w:lang/>
        </w:rPr>
        <w:t xml:space="preserve">, avoiding potential penalties. The revised process saved approximately </w:t>
      </w:r>
      <w:r w:rsidRPr="00EA0927">
        <w:rPr>
          <w:b/>
          <w:bCs/>
          <w:lang/>
        </w:rPr>
        <w:t>£15,000</w:t>
      </w:r>
      <w:r w:rsidRPr="00EA0927">
        <w:rPr>
          <w:lang/>
        </w:rPr>
        <w:t xml:space="preserve"> in delay-related costs and reduced testing-phase man-hours by </w:t>
      </w:r>
      <w:r w:rsidRPr="00EA0927">
        <w:rPr>
          <w:b/>
          <w:bCs/>
          <w:lang/>
        </w:rPr>
        <w:t>12%</w:t>
      </w:r>
      <w:r w:rsidRPr="00EA0927">
        <w:rPr>
          <w:lang/>
        </w:rPr>
        <w:t>. The parallel testing approach was later adopted as the standard procedure for similar projects within the organisation.</w:t>
      </w:r>
    </w:p>
    <w:p w14:paraId="18FDB154" w14:textId="77777777" w:rsidR="00EA0927" w:rsidRPr="00EA0927" w:rsidRDefault="00EA0927" w:rsidP="00EA0927">
      <w:pPr>
        <w:rPr>
          <w:lang w:val="en-US"/>
        </w:rPr>
      </w:pPr>
    </w:p>
    <w:p w14:paraId="75611C9D" w14:textId="77777777" w:rsidR="00EA0927" w:rsidRPr="00EA0927" w:rsidRDefault="00EA0927" w:rsidP="00EA0927">
      <w:pPr>
        <w:rPr>
          <w:b/>
          <w:bCs/>
          <w:lang/>
        </w:rPr>
      </w:pPr>
      <w:r w:rsidRPr="00EA0927">
        <w:rPr>
          <w:b/>
          <w:bCs/>
          <w:lang/>
        </w:rPr>
        <w:t>4. Why This Approach Works for the IET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365"/>
        <w:gridCol w:w="7271"/>
      </w:tblGrid>
      <w:tr w:rsidR="00EA0927" w:rsidRPr="00EA0927" w14:paraId="1F8226CA" w14:textId="77777777" w:rsidTr="00EA09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3B0B1" w14:textId="77777777" w:rsidR="00EA0927" w:rsidRPr="00EA0927" w:rsidRDefault="00EA0927" w:rsidP="00EA0927">
            <w:pPr>
              <w:rPr>
                <w:b/>
                <w:bCs/>
                <w:lang/>
              </w:rPr>
            </w:pPr>
            <w:r w:rsidRPr="00EA0927">
              <w:rPr>
                <w:b/>
                <w:bCs/>
                <w:lang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1EE414E" w14:textId="77777777" w:rsidR="00EA0927" w:rsidRPr="00EA0927" w:rsidRDefault="00EA0927" w:rsidP="00EA0927">
            <w:pPr>
              <w:rPr>
                <w:b/>
                <w:bCs/>
                <w:lang/>
              </w:rPr>
            </w:pPr>
            <w:r w:rsidRPr="00EA0927">
              <w:rPr>
                <w:b/>
                <w:bCs/>
                <w:lang/>
              </w:rPr>
              <w:t>Technique Used</w:t>
            </w:r>
          </w:p>
        </w:tc>
        <w:tc>
          <w:tcPr>
            <w:tcW w:w="0" w:type="auto"/>
            <w:vAlign w:val="center"/>
            <w:hideMark/>
          </w:tcPr>
          <w:p w14:paraId="4C4C205B" w14:textId="77777777" w:rsidR="00EA0927" w:rsidRPr="00EA0927" w:rsidRDefault="00EA0927" w:rsidP="00EA0927">
            <w:pPr>
              <w:rPr>
                <w:b/>
                <w:bCs/>
                <w:lang/>
              </w:rPr>
            </w:pPr>
            <w:r w:rsidRPr="00EA0927">
              <w:rPr>
                <w:b/>
                <w:bCs/>
                <w:lang/>
              </w:rPr>
              <w:t>Why It Is Effective</w:t>
            </w:r>
          </w:p>
        </w:tc>
      </w:tr>
      <w:tr w:rsidR="00EA0927" w:rsidRPr="00EA0927" w14:paraId="3DDD7D2E" w14:textId="77777777" w:rsidTr="00EA0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6E427" w14:textId="77777777" w:rsidR="00EA0927" w:rsidRPr="00EA0927" w:rsidRDefault="00EA0927" w:rsidP="00EA0927">
            <w:pPr>
              <w:rPr>
                <w:lang/>
              </w:rPr>
            </w:pPr>
            <w:r w:rsidRPr="00EA0927">
              <w:rPr>
                <w:lang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C3BA508" w14:textId="77777777" w:rsidR="00EA0927" w:rsidRPr="00EA0927" w:rsidRDefault="00EA0927" w:rsidP="00EA0927">
            <w:pPr>
              <w:rPr>
                <w:lang/>
              </w:rPr>
            </w:pPr>
            <w:r w:rsidRPr="00EA0927">
              <w:rPr>
                <w:lang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6736D6DB" w14:textId="77777777" w:rsidR="00EA0927" w:rsidRPr="00EA0927" w:rsidRDefault="00EA0927" w:rsidP="00EA0927">
            <w:pPr>
              <w:rPr>
                <w:lang/>
              </w:rPr>
            </w:pPr>
            <w:r w:rsidRPr="00EA0927">
              <w:rPr>
                <w:lang/>
              </w:rPr>
              <w:t>Clearly sets the scene and highlights complexity, such as regulatory constraints, without unnecessary technical detail.</w:t>
            </w:r>
          </w:p>
        </w:tc>
      </w:tr>
      <w:tr w:rsidR="00EA0927" w:rsidRPr="00EA0927" w14:paraId="7D205E41" w14:textId="77777777" w:rsidTr="00EA0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1D95" w14:textId="77777777" w:rsidR="00EA0927" w:rsidRPr="00EA0927" w:rsidRDefault="00EA0927" w:rsidP="00EA0927">
            <w:pPr>
              <w:rPr>
                <w:lang/>
              </w:rPr>
            </w:pPr>
            <w:r w:rsidRPr="00EA0927">
              <w:rPr>
                <w:lang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933CF18" w14:textId="77777777" w:rsidR="00EA0927" w:rsidRPr="00EA0927" w:rsidRDefault="00EA0927" w:rsidP="00EA0927">
            <w:pPr>
              <w:rPr>
                <w:lang/>
              </w:rPr>
            </w:pPr>
            <w:r w:rsidRPr="00EA0927">
              <w:rPr>
                <w:lang/>
              </w:rPr>
              <w:t>SMART</w:t>
            </w:r>
          </w:p>
        </w:tc>
        <w:tc>
          <w:tcPr>
            <w:tcW w:w="0" w:type="auto"/>
            <w:vAlign w:val="center"/>
            <w:hideMark/>
          </w:tcPr>
          <w:p w14:paraId="139CB033" w14:textId="77777777" w:rsidR="00EA0927" w:rsidRPr="00EA0927" w:rsidRDefault="00EA0927" w:rsidP="00EA0927">
            <w:pPr>
              <w:rPr>
                <w:lang/>
              </w:rPr>
            </w:pPr>
            <w:r w:rsidRPr="00EA0927">
              <w:rPr>
                <w:lang/>
              </w:rPr>
              <w:t>Uses concrete targets rather than vague statements, demonstrating commercial and operational awareness.</w:t>
            </w:r>
          </w:p>
        </w:tc>
      </w:tr>
      <w:tr w:rsidR="00EA0927" w:rsidRPr="00EA0927" w14:paraId="7C27C4FE" w14:textId="77777777" w:rsidTr="00EA0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D9A0" w14:textId="77777777" w:rsidR="00EA0927" w:rsidRPr="00EA0927" w:rsidRDefault="00EA0927" w:rsidP="00EA0927">
            <w:pPr>
              <w:rPr>
                <w:lang/>
              </w:rPr>
            </w:pPr>
            <w:r w:rsidRPr="00EA0927">
              <w:rPr>
                <w:lang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6C5AC44" w14:textId="77777777" w:rsidR="00EA0927" w:rsidRPr="00EA0927" w:rsidRDefault="00EA0927" w:rsidP="00EA0927">
            <w:pPr>
              <w:rPr>
                <w:lang/>
              </w:rPr>
            </w:pPr>
            <w:r w:rsidRPr="00EA0927">
              <w:rPr>
                <w:lang/>
              </w:rPr>
              <w:t>“I” statements</w:t>
            </w:r>
          </w:p>
        </w:tc>
        <w:tc>
          <w:tcPr>
            <w:tcW w:w="0" w:type="auto"/>
            <w:vAlign w:val="center"/>
            <w:hideMark/>
          </w:tcPr>
          <w:p w14:paraId="386E57B6" w14:textId="77777777" w:rsidR="00EA0927" w:rsidRPr="00EA0927" w:rsidRDefault="00EA0927" w:rsidP="00EA0927">
            <w:pPr>
              <w:rPr>
                <w:lang/>
              </w:rPr>
            </w:pPr>
            <w:r w:rsidRPr="00EA0927">
              <w:rPr>
                <w:lang/>
              </w:rPr>
              <w:t>Keeps the focus on your personal decisions and leadership, which is critical for assessment.</w:t>
            </w:r>
          </w:p>
        </w:tc>
      </w:tr>
      <w:tr w:rsidR="00EA0927" w:rsidRPr="00EA0927" w14:paraId="424D3F2A" w14:textId="77777777" w:rsidTr="00EA0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4959" w14:textId="77777777" w:rsidR="00EA0927" w:rsidRPr="00EA0927" w:rsidRDefault="00EA0927" w:rsidP="00EA0927">
            <w:pPr>
              <w:rPr>
                <w:lang/>
              </w:rPr>
            </w:pPr>
            <w:r w:rsidRPr="00EA0927">
              <w:rPr>
                <w:lang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4B3A597" w14:textId="77777777" w:rsidR="00EA0927" w:rsidRPr="00EA0927" w:rsidRDefault="00EA0927" w:rsidP="00EA0927">
            <w:pPr>
              <w:rPr>
                <w:lang/>
              </w:rPr>
            </w:pPr>
            <w:r w:rsidRPr="00EA0927">
              <w:rPr>
                <w:lang/>
              </w:rPr>
              <w:t>Measurable</w:t>
            </w:r>
          </w:p>
        </w:tc>
        <w:tc>
          <w:tcPr>
            <w:tcW w:w="0" w:type="auto"/>
            <w:vAlign w:val="center"/>
            <w:hideMark/>
          </w:tcPr>
          <w:p w14:paraId="1AE4458F" w14:textId="77777777" w:rsidR="00EA0927" w:rsidRPr="00EA0927" w:rsidRDefault="00EA0927" w:rsidP="00EA0927">
            <w:pPr>
              <w:rPr>
                <w:lang/>
              </w:rPr>
            </w:pPr>
            <w:r w:rsidRPr="00EA0927">
              <w:rPr>
                <w:lang/>
              </w:rPr>
              <w:t>Quantifies impact using data and outcomes, which assessors trust more than subjective statements.</w:t>
            </w:r>
          </w:p>
        </w:tc>
      </w:tr>
    </w:tbl>
    <w:p w14:paraId="287CFB49" w14:textId="6EB31AD6" w:rsidR="00EA0927" w:rsidRPr="00EA0927" w:rsidRDefault="00EA0927" w:rsidP="00EA0927">
      <w:pPr>
        <w:rPr>
          <w:lang/>
        </w:rPr>
      </w:pPr>
    </w:p>
    <w:p w14:paraId="5DC0EEDE" w14:textId="77777777" w:rsidR="00EA0927" w:rsidRPr="00EA0927" w:rsidRDefault="00EA0927" w:rsidP="00EA0927">
      <w:pPr>
        <w:rPr>
          <w:b/>
          <w:bCs/>
          <w:lang/>
        </w:rPr>
      </w:pPr>
      <w:r w:rsidRPr="00EA0927">
        <w:rPr>
          <w:b/>
          <w:bCs/>
          <w:lang/>
        </w:rPr>
        <w:t>5. Key Do’s and Don’ts for IET Applications</w:t>
      </w:r>
    </w:p>
    <w:p w14:paraId="4D98A233" w14:textId="77777777" w:rsidR="00EA0927" w:rsidRPr="00EA0927" w:rsidRDefault="00EA0927" w:rsidP="00EA0927">
      <w:pPr>
        <w:rPr>
          <w:lang/>
        </w:rPr>
      </w:pPr>
      <w:r w:rsidRPr="00EA0927">
        <w:rPr>
          <w:b/>
          <w:bCs/>
          <w:lang/>
        </w:rPr>
        <w:t>Do:</w:t>
      </w:r>
    </w:p>
    <w:p w14:paraId="7393596A" w14:textId="77777777" w:rsidR="00EA0927" w:rsidRPr="00EA0927" w:rsidRDefault="00EA0927" w:rsidP="00EA0927">
      <w:pPr>
        <w:numPr>
          <w:ilvl w:val="0"/>
          <w:numId w:val="12"/>
        </w:numPr>
        <w:rPr>
          <w:lang/>
        </w:rPr>
      </w:pPr>
      <w:r w:rsidRPr="00EA0927">
        <w:rPr>
          <w:lang/>
        </w:rPr>
        <w:t xml:space="preserve">Use </w:t>
      </w:r>
      <w:r w:rsidRPr="00EA0927">
        <w:rPr>
          <w:b/>
          <w:bCs/>
          <w:lang/>
        </w:rPr>
        <w:t>“I” statements</w:t>
      </w:r>
      <w:r w:rsidRPr="00EA0927">
        <w:rPr>
          <w:lang/>
        </w:rPr>
        <w:t xml:space="preserve"> consistently. The IET assesses </w:t>
      </w:r>
      <w:r w:rsidRPr="00EA0927">
        <w:rPr>
          <w:i/>
          <w:iCs/>
          <w:lang/>
        </w:rPr>
        <w:t>you</w:t>
      </w:r>
      <w:r w:rsidRPr="00EA0927">
        <w:rPr>
          <w:lang/>
        </w:rPr>
        <w:t>, not your team.</w:t>
      </w:r>
    </w:p>
    <w:p w14:paraId="76DA1E02" w14:textId="77777777" w:rsidR="00EA0927" w:rsidRPr="00EA0927" w:rsidRDefault="00EA0927" w:rsidP="00EA0927">
      <w:pPr>
        <w:numPr>
          <w:ilvl w:val="0"/>
          <w:numId w:val="12"/>
        </w:numPr>
        <w:rPr>
          <w:lang/>
        </w:rPr>
      </w:pPr>
      <w:r w:rsidRPr="00EA0927">
        <w:rPr>
          <w:lang/>
        </w:rPr>
        <w:t xml:space="preserve">Focus on </w:t>
      </w:r>
      <w:r w:rsidRPr="00EA0927">
        <w:rPr>
          <w:b/>
          <w:bCs/>
          <w:lang/>
        </w:rPr>
        <w:t>non-routine and complex work</w:t>
      </w:r>
      <w:r w:rsidRPr="00EA0927">
        <w:rPr>
          <w:lang/>
        </w:rPr>
        <w:t>, showing judgement and responsibility.</w:t>
      </w:r>
    </w:p>
    <w:p w14:paraId="28BE1F26" w14:textId="77777777" w:rsidR="00EA0927" w:rsidRPr="00EA0927" w:rsidRDefault="00EA0927" w:rsidP="00EA0927">
      <w:pPr>
        <w:numPr>
          <w:ilvl w:val="0"/>
          <w:numId w:val="12"/>
        </w:numPr>
        <w:rPr>
          <w:lang/>
        </w:rPr>
      </w:pPr>
      <w:r w:rsidRPr="00EA0927">
        <w:rPr>
          <w:lang/>
        </w:rPr>
        <w:t xml:space="preserve">Highlight links to </w:t>
      </w:r>
      <w:r w:rsidRPr="00EA0927">
        <w:rPr>
          <w:b/>
          <w:bCs/>
          <w:lang/>
        </w:rPr>
        <w:t>other competences</w:t>
      </w:r>
      <w:r w:rsidRPr="00EA0927">
        <w:rPr>
          <w:lang/>
        </w:rPr>
        <w:t xml:space="preserve"> where appropriate. For example, a C2 example may also support B3 or C1.</w:t>
      </w:r>
    </w:p>
    <w:p w14:paraId="20BDC85A" w14:textId="77777777" w:rsidR="00EA0927" w:rsidRPr="00EA0927" w:rsidRDefault="00EA0927" w:rsidP="00EA0927">
      <w:pPr>
        <w:rPr>
          <w:lang/>
        </w:rPr>
      </w:pPr>
      <w:r w:rsidRPr="00EA0927">
        <w:rPr>
          <w:b/>
          <w:bCs/>
          <w:lang/>
        </w:rPr>
        <w:t>Avoid:</w:t>
      </w:r>
    </w:p>
    <w:p w14:paraId="2BBBEC7A" w14:textId="77777777" w:rsidR="00EA0927" w:rsidRPr="00EA0927" w:rsidRDefault="00EA0927" w:rsidP="00EA0927">
      <w:pPr>
        <w:numPr>
          <w:ilvl w:val="0"/>
          <w:numId w:val="13"/>
        </w:numPr>
        <w:rPr>
          <w:lang/>
        </w:rPr>
      </w:pPr>
      <w:r w:rsidRPr="00EA0927">
        <w:rPr>
          <w:lang/>
        </w:rPr>
        <w:t xml:space="preserve">Using </w:t>
      </w:r>
      <w:r w:rsidRPr="00EA0927">
        <w:rPr>
          <w:b/>
          <w:bCs/>
          <w:lang/>
        </w:rPr>
        <w:t>bullet points</w:t>
      </w:r>
      <w:r w:rsidRPr="00EA0927">
        <w:rPr>
          <w:lang/>
        </w:rPr>
        <w:t xml:space="preserve"> in competence and career history sections. The IET generally prefers well-written prose that tells a coherent story.</w:t>
      </w:r>
    </w:p>
    <w:p w14:paraId="636BDE9B" w14:textId="77777777" w:rsidR="00EA0927" w:rsidRPr="00EA0927" w:rsidRDefault="00EA0927" w:rsidP="00EA0927">
      <w:pPr>
        <w:numPr>
          <w:ilvl w:val="0"/>
          <w:numId w:val="13"/>
        </w:numPr>
        <w:rPr>
          <w:lang/>
        </w:rPr>
      </w:pPr>
      <w:r w:rsidRPr="00EA0927">
        <w:rPr>
          <w:lang/>
        </w:rPr>
        <w:t>Being vague about outcomes. Statements such as “the project was successful” should always be supported with evidence.</w:t>
      </w:r>
    </w:p>
    <w:p w14:paraId="5DFC24E3" w14:textId="77777777" w:rsidR="00EA0927" w:rsidRDefault="00EA0927" w:rsidP="00EA0927">
      <w:pPr>
        <w:rPr>
          <w:lang w:val="en-US"/>
        </w:rPr>
      </w:pPr>
    </w:p>
    <w:p w14:paraId="4187BF01" w14:textId="77777777" w:rsidR="00EA0927" w:rsidRDefault="00EA0927" w:rsidP="00EA0927">
      <w:pPr>
        <w:rPr>
          <w:lang w:val="en-US"/>
        </w:rPr>
      </w:pPr>
    </w:p>
    <w:p w14:paraId="0720EDB1" w14:textId="77777777" w:rsidR="00EA0927" w:rsidRDefault="00EA0927" w:rsidP="00EA0927">
      <w:pPr>
        <w:rPr>
          <w:lang w:val="en-US"/>
        </w:rPr>
      </w:pPr>
    </w:p>
    <w:p w14:paraId="03E782A9" w14:textId="77777777" w:rsidR="00EA0927" w:rsidRDefault="00EA0927" w:rsidP="00EA0927">
      <w:pPr>
        <w:rPr>
          <w:lang w:val="en-US"/>
        </w:rPr>
      </w:pPr>
    </w:p>
    <w:p w14:paraId="2BC7BB69" w14:textId="77777777" w:rsidR="00EA0927" w:rsidRPr="00EA0927" w:rsidRDefault="00EA0927" w:rsidP="00EA0927">
      <w:pPr>
        <w:rPr>
          <w:b/>
          <w:bCs/>
          <w:lang/>
        </w:rPr>
      </w:pPr>
      <w:r w:rsidRPr="00EA0927">
        <w:rPr>
          <w:b/>
          <w:bCs/>
          <w:lang/>
        </w:rPr>
        <w:lastRenderedPageBreak/>
        <w:t>6. References</w:t>
      </w:r>
    </w:p>
    <w:p w14:paraId="51BF845F" w14:textId="5AFB75CF" w:rsidR="0070641A" w:rsidRPr="0070641A" w:rsidRDefault="0070641A" w:rsidP="0070641A">
      <w:pPr>
        <w:rPr>
          <w:lang w:val="en-US"/>
        </w:rPr>
      </w:pPr>
    </w:p>
    <w:bookmarkStart w:id="0" w:name="fn1"/>
    <w:bookmarkEnd w:id="0"/>
    <w:p w14:paraId="3B462075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"https://www.theiet.org/media/2872/competence-and-commitment-standard-for-incorporated-engineers.pdf"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https://www.theiet.org/media/2872/competence-and-commitment-standard-for-incorporated-engineers.pdf</w:t>
      </w:r>
      <w:r w:rsidRPr="0070641A">
        <w:fldChar w:fldCharType="end"/>
      </w:r>
    </w:p>
    <w:bookmarkStart w:id="1" w:name="fn2"/>
    <w:bookmarkEnd w:id="1"/>
    <w:p w14:paraId="0C57EA38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"https://www.theiet.org/media/2877/competence-and-commitment-standard-for-engineering-technicians.pdf"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https://www.theiet.org/media/2877/competence-and-commitment-standard-for-engineering-technicians.pdf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2" w:name="fn3"/>
    <w:bookmarkEnd w:id="2"/>
    <w:p w14:paraId="23C12549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"https://engx.theiet.org/f/career-development/31814/ceng-application---how-to-write-it"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https://engx.theiet.org/f/career-development/31814/ceng-application---how-to-write-it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3" w:name="fn4"/>
    <w:bookmarkEnd w:id="3"/>
    <w:p w14:paraId="43C02B2D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"https://www.theiet.org/media/11754/ceng-and-ieng-application-guidance-notes.pdf"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https://www.theiet.org/media/11754/ceng-and-ieng-application-guidance-notes.pdf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4" w:name="fn5"/>
    <w:bookmarkEnd w:id="4"/>
    <w:p w14:paraId="3E452607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"https://www.theiet.org/media/2871/competence-and-commitment-standard-for-chartered-engineers.pdf"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https://www.theiet.org/media/2871/competence-and-commitment-standard-for-chartered-engineers.pdf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5" w:name="fn6"/>
    <w:bookmarkEnd w:id="5"/>
    <w:p w14:paraId="7DD0BBB9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"https://www.theiet.org/career/career-support/finding-a-job/interviews/useful-interview-techniques"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https://www.theiet.org/career/career-support/finding-a-job/interviews/useful-interview-techniques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6" w:name="fn7"/>
    <w:bookmarkEnd w:id="6"/>
    <w:p w14:paraId="4BBE9899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"https://www.theiet.org/media/wped2qrc/instructions-for-applicants-applying-for-ieng-and-ceng-registration.pdf"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https://www.theiet.org/media/wped2qrc/instructions-for-applicants-applying-for-ieng-and-ceng-registration.pdf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7" w:name="fn8"/>
    <w:bookmarkEnd w:id="7"/>
    <w:p w14:paraId="69F1111A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"https://www.theiet.org/career/professional-registration/chartered-engineer/am-i-eligible"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https://www.theiet.org/career/professional-registration/chartered-engineer/am-i-eligible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8" w:name="fn9"/>
    <w:bookmarkEnd w:id="8"/>
    <w:p w14:paraId="602A0562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"https://www.linkedin.com/pulse/chartered-engineer-qualification-iet-assessment-nanayakkara-8xvqc"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https://www.linkedin.com/pulse/chartered-engineer-qualification-iet-assessment-nanayakkara-8xvqc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9" w:name="fn10"/>
    <w:bookmarkEnd w:id="9"/>
    <w:p w14:paraId="471D72DE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"https://www.theiet.org/career/professional-registration/getting-help-with-your-application/10-professional-registration-top-tips"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https://www.theiet.org/career/professional-registration/getting-help-with-your-application/10-professional-registration-top-tips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10" w:name="fn11"/>
    <w:bookmarkEnd w:id="10"/>
    <w:p w14:paraId="4FCC8890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"https://www.scribd.com/document/882796132/UK-SPEC-Competency-Matrix"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https://www.scribd.com/document/882796132/UK-SPEC-Competency-Matrix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11" w:name="fn12"/>
    <w:bookmarkEnd w:id="11"/>
    <w:p w14:paraId="749FD4F3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"https://www.youtube.com/watch?v=qdKZg2CvD2E"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https://www.youtube.com/watch?v=qdKZg2CvD2E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12" w:name="fn13"/>
    <w:bookmarkEnd w:id="12"/>
    <w:p w14:paraId="32B969E9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"https://akingscote.co.uk/posts/chartered-engineer-ceng-reflection/"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https://akingscote.co.uk/posts/chartered-engineer-ceng-reflection/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13" w:name="fn14"/>
    <w:bookmarkEnd w:id="13"/>
    <w:p w14:paraId="0E20DE66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"https://www.linkedin.com/pulse/ceng-professional-registration-through-iet-guide-shubha-kumari-cyevc"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https://www.linkedin.com/pulse/ceng-professional-registration-through-iet-guide-shubha-kumari-cyevc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14" w:name="fn15"/>
    <w:bookmarkEnd w:id="14"/>
    <w:p w14:paraId="1E009EDD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"https://www.engc.org.uk/media/a1yfae02/uk-spec-fourth-edition.pdf"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https://www.engc.org.uk/media/a1yfae02/uk-spec-fourth-edition.pdf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15" w:name="fn16"/>
    <w:bookmarkEnd w:id="15"/>
    <w:p w14:paraId="18DB336B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"https://nationalcareers.service.gov.uk/careers-advice/interview-advice/the-star-method"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https://nationalcareers.service.gov.uk/careers-advice/interview-advice/the-star-method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16" w:name="fn17"/>
    <w:bookmarkEnd w:id="16"/>
    <w:p w14:paraId="2C504D04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"https://www.youtube.com/watch?v=lur9kEKv_84"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https://www.youtube.com/watch?v=lur9kEKv_84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17" w:name="fn18"/>
    <w:bookmarkEnd w:id="17"/>
    <w:p w14:paraId="1FA74E53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"https://www.engc.org.uk/our-role-as-regulator/setting-standards/professional-engineering-competence-and-commitment/"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https://www.engc.org.uk/our-role-as-regulator/setting-standards/professional-engineering-competence-and-commitment/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18" w:name="fn19"/>
    <w:bookmarkEnd w:id="18"/>
    <w:p w14:paraId="70747EA5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"https://www.theiet.org/media/jrme5pn0/instructions-for-applicants-preparing-for-and-attending-their-professional-review-interview-may-2024.pdf"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https://www.theiet.org/media/jrme5pn0/instructions-for-applicants-preparing-for-and-attending-their-professional-review-interview-may-2024.pdf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bookmarkStart w:id="19" w:name="fn20"/>
    <w:bookmarkEnd w:id="19"/>
    <w:p w14:paraId="402B7E7F" w14:textId="77777777" w:rsidR="0070641A" w:rsidRPr="0070641A" w:rsidRDefault="0070641A" w:rsidP="0070641A">
      <w:pPr>
        <w:numPr>
          <w:ilvl w:val="0"/>
          <w:numId w:val="9"/>
        </w:numPr>
        <w:rPr>
          <w:lang w:val="en-US"/>
        </w:rPr>
      </w:pPr>
      <w:r w:rsidRPr="0070641A">
        <w:rPr>
          <w:lang w:val="en-US"/>
        </w:rPr>
        <w:fldChar w:fldCharType="begin"/>
      </w:r>
      <w:r w:rsidRPr="0070641A">
        <w:rPr>
          <w:lang w:val="en-US"/>
        </w:rPr>
        <w:instrText>HYPERLINK "https://www.writingahead.com/iet-professional-registration" \h</w:instrText>
      </w:r>
      <w:r w:rsidRPr="0070641A">
        <w:rPr>
          <w:lang w:val="en-US"/>
        </w:rPr>
      </w:r>
      <w:r w:rsidRPr="0070641A">
        <w:rPr>
          <w:lang w:val="en-US"/>
        </w:rPr>
        <w:fldChar w:fldCharType="separate"/>
      </w:r>
      <w:r w:rsidRPr="0070641A">
        <w:rPr>
          <w:rStyle w:val="Hyperlink"/>
          <w:lang w:val="en-US"/>
        </w:rPr>
        <w:t>https://www.writingahead.com/iet-professional-registration</w:t>
      </w:r>
      <w:r w:rsidRPr="0070641A">
        <w:fldChar w:fldCharType="end"/>
      </w:r>
      <w:r w:rsidRPr="0070641A">
        <w:rPr>
          <w:lang w:val="en-US"/>
        </w:rPr>
        <w:t xml:space="preserve"> </w:t>
      </w:r>
    </w:p>
    <w:p w14:paraId="18D3B0D6" w14:textId="77777777" w:rsidR="00A551FF" w:rsidRPr="0070641A" w:rsidRDefault="00A551FF">
      <w:pPr>
        <w:rPr>
          <w:lang w:val="en-US"/>
        </w:rPr>
      </w:pPr>
    </w:p>
    <w:sectPr w:rsidR="00A551FF" w:rsidRPr="0070641A" w:rsidSect="0070641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3C427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AD6DB3"/>
    <w:multiLevelType w:val="hybridMultilevel"/>
    <w:tmpl w:val="6964B8B4"/>
    <w:lvl w:ilvl="0" w:tplc="48066D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20CA72">
      <w:numFmt w:val="decimal"/>
      <w:lvlText w:val=""/>
      <w:lvlJc w:val="left"/>
    </w:lvl>
    <w:lvl w:ilvl="2" w:tplc="02909142">
      <w:numFmt w:val="decimal"/>
      <w:lvlText w:val=""/>
      <w:lvlJc w:val="left"/>
    </w:lvl>
    <w:lvl w:ilvl="3" w:tplc="14DC8B18">
      <w:numFmt w:val="decimal"/>
      <w:lvlText w:val=""/>
      <w:lvlJc w:val="left"/>
    </w:lvl>
    <w:lvl w:ilvl="4" w:tplc="843A3E84">
      <w:numFmt w:val="decimal"/>
      <w:lvlText w:val=""/>
      <w:lvlJc w:val="left"/>
    </w:lvl>
    <w:lvl w:ilvl="5" w:tplc="9AD08ADA">
      <w:numFmt w:val="decimal"/>
      <w:lvlText w:val=""/>
      <w:lvlJc w:val="left"/>
    </w:lvl>
    <w:lvl w:ilvl="6" w:tplc="539E30DC">
      <w:numFmt w:val="decimal"/>
      <w:lvlText w:val=""/>
      <w:lvlJc w:val="left"/>
    </w:lvl>
    <w:lvl w:ilvl="7" w:tplc="EDF67D36">
      <w:numFmt w:val="decimal"/>
      <w:lvlText w:val=""/>
      <w:lvlJc w:val="left"/>
    </w:lvl>
    <w:lvl w:ilvl="8" w:tplc="2312D0B0">
      <w:numFmt w:val="decimal"/>
      <w:lvlText w:val=""/>
      <w:lvlJc w:val="left"/>
    </w:lvl>
  </w:abstractNum>
  <w:abstractNum w:abstractNumId="2" w15:restartNumberingAfterBreak="0">
    <w:nsid w:val="140A6D8C"/>
    <w:multiLevelType w:val="hybridMultilevel"/>
    <w:tmpl w:val="D43C9106"/>
    <w:lvl w:ilvl="0" w:tplc="384C4E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1E57AE">
      <w:numFmt w:val="decimal"/>
      <w:lvlText w:val=""/>
      <w:lvlJc w:val="left"/>
    </w:lvl>
    <w:lvl w:ilvl="2" w:tplc="402094C0">
      <w:numFmt w:val="decimal"/>
      <w:lvlText w:val=""/>
      <w:lvlJc w:val="left"/>
    </w:lvl>
    <w:lvl w:ilvl="3" w:tplc="141A8154">
      <w:numFmt w:val="decimal"/>
      <w:lvlText w:val=""/>
      <w:lvlJc w:val="left"/>
    </w:lvl>
    <w:lvl w:ilvl="4" w:tplc="E0CCB1BC">
      <w:numFmt w:val="decimal"/>
      <w:lvlText w:val=""/>
      <w:lvlJc w:val="left"/>
    </w:lvl>
    <w:lvl w:ilvl="5" w:tplc="2766D7A0">
      <w:numFmt w:val="decimal"/>
      <w:lvlText w:val=""/>
      <w:lvlJc w:val="left"/>
    </w:lvl>
    <w:lvl w:ilvl="6" w:tplc="D5745FB4">
      <w:numFmt w:val="decimal"/>
      <w:lvlText w:val=""/>
      <w:lvlJc w:val="left"/>
    </w:lvl>
    <w:lvl w:ilvl="7" w:tplc="DA9E64A4">
      <w:numFmt w:val="decimal"/>
      <w:lvlText w:val=""/>
      <w:lvlJc w:val="left"/>
    </w:lvl>
    <w:lvl w:ilvl="8" w:tplc="43B280C0">
      <w:numFmt w:val="decimal"/>
      <w:lvlText w:val=""/>
      <w:lvlJc w:val="left"/>
    </w:lvl>
  </w:abstractNum>
  <w:abstractNum w:abstractNumId="3" w15:restartNumberingAfterBreak="0">
    <w:nsid w:val="18C858C5"/>
    <w:multiLevelType w:val="hybridMultilevel"/>
    <w:tmpl w:val="6690334E"/>
    <w:lvl w:ilvl="0" w:tplc="BDEC7BF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80ACB82">
      <w:numFmt w:val="decimal"/>
      <w:lvlText w:val=""/>
      <w:lvlJc w:val="left"/>
    </w:lvl>
    <w:lvl w:ilvl="2" w:tplc="C1068DDC">
      <w:numFmt w:val="decimal"/>
      <w:lvlText w:val=""/>
      <w:lvlJc w:val="left"/>
    </w:lvl>
    <w:lvl w:ilvl="3" w:tplc="C92E81F6">
      <w:numFmt w:val="decimal"/>
      <w:lvlText w:val=""/>
      <w:lvlJc w:val="left"/>
    </w:lvl>
    <w:lvl w:ilvl="4" w:tplc="46C0C92E">
      <w:numFmt w:val="decimal"/>
      <w:lvlText w:val=""/>
      <w:lvlJc w:val="left"/>
    </w:lvl>
    <w:lvl w:ilvl="5" w:tplc="8F2068DE">
      <w:numFmt w:val="decimal"/>
      <w:lvlText w:val=""/>
      <w:lvlJc w:val="left"/>
    </w:lvl>
    <w:lvl w:ilvl="6" w:tplc="74263A56">
      <w:numFmt w:val="decimal"/>
      <w:lvlText w:val=""/>
      <w:lvlJc w:val="left"/>
    </w:lvl>
    <w:lvl w:ilvl="7" w:tplc="4FC817B0">
      <w:numFmt w:val="decimal"/>
      <w:lvlText w:val=""/>
      <w:lvlJc w:val="left"/>
    </w:lvl>
    <w:lvl w:ilvl="8" w:tplc="160E725A">
      <w:numFmt w:val="decimal"/>
      <w:lvlText w:val=""/>
      <w:lvlJc w:val="left"/>
    </w:lvl>
  </w:abstractNum>
  <w:abstractNum w:abstractNumId="4" w15:restartNumberingAfterBreak="0">
    <w:nsid w:val="45F222C6"/>
    <w:multiLevelType w:val="multilevel"/>
    <w:tmpl w:val="6CFA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81C68"/>
    <w:multiLevelType w:val="multilevel"/>
    <w:tmpl w:val="04AE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D589D"/>
    <w:multiLevelType w:val="multilevel"/>
    <w:tmpl w:val="9156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817E2"/>
    <w:multiLevelType w:val="multilevel"/>
    <w:tmpl w:val="EFF4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72FA2"/>
    <w:multiLevelType w:val="multilevel"/>
    <w:tmpl w:val="0C32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36E92"/>
    <w:multiLevelType w:val="hybridMultilevel"/>
    <w:tmpl w:val="5B88F15A"/>
    <w:lvl w:ilvl="0" w:tplc="97F06F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BE8C40">
      <w:numFmt w:val="decimal"/>
      <w:lvlText w:val=""/>
      <w:lvlJc w:val="left"/>
    </w:lvl>
    <w:lvl w:ilvl="2" w:tplc="E17CD9EE">
      <w:numFmt w:val="decimal"/>
      <w:lvlText w:val=""/>
      <w:lvlJc w:val="left"/>
    </w:lvl>
    <w:lvl w:ilvl="3" w:tplc="1ECCD6A0">
      <w:numFmt w:val="decimal"/>
      <w:lvlText w:val=""/>
      <w:lvlJc w:val="left"/>
    </w:lvl>
    <w:lvl w:ilvl="4" w:tplc="3E8C157E">
      <w:numFmt w:val="decimal"/>
      <w:lvlText w:val=""/>
      <w:lvlJc w:val="left"/>
    </w:lvl>
    <w:lvl w:ilvl="5" w:tplc="C4B02E0E">
      <w:numFmt w:val="decimal"/>
      <w:lvlText w:val=""/>
      <w:lvlJc w:val="left"/>
    </w:lvl>
    <w:lvl w:ilvl="6" w:tplc="4142CF94">
      <w:numFmt w:val="decimal"/>
      <w:lvlText w:val=""/>
      <w:lvlJc w:val="left"/>
    </w:lvl>
    <w:lvl w:ilvl="7" w:tplc="1DC8F976">
      <w:numFmt w:val="decimal"/>
      <w:lvlText w:val=""/>
      <w:lvlJc w:val="left"/>
    </w:lvl>
    <w:lvl w:ilvl="8" w:tplc="D09EC5D2">
      <w:numFmt w:val="decimal"/>
      <w:lvlText w:val=""/>
      <w:lvlJc w:val="left"/>
    </w:lvl>
  </w:abstractNum>
  <w:abstractNum w:abstractNumId="10" w15:restartNumberingAfterBreak="0">
    <w:nsid w:val="76BF417B"/>
    <w:multiLevelType w:val="multilevel"/>
    <w:tmpl w:val="AA7CDFC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583446638">
    <w:abstractNumId w:val="10"/>
  </w:num>
  <w:num w:numId="2" w16cid:durableId="1002129197">
    <w:abstractNumId w:val="10"/>
  </w:num>
  <w:num w:numId="3" w16cid:durableId="1460297415">
    <w:abstractNumId w:val="0"/>
  </w:num>
  <w:num w:numId="4" w16cid:durableId="70205643">
    <w:abstractNumId w:val="0"/>
  </w:num>
  <w:num w:numId="5" w16cid:durableId="315231213">
    <w:abstractNumId w:val="0"/>
  </w:num>
  <w:num w:numId="6" w16cid:durableId="171185645">
    <w:abstractNumId w:val="1"/>
  </w:num>
  <w:num w:numId="7" w16cid:durableId="516194057">
    <w:abstractNumId w:val="2"/>
  </w:num>
  <w:num w:numId="8" w16cid:durableId="1830292837">
    <w:abstractNumId w:val="9"/>
  </w:num>
  <w:num w:numId="9" w16cid:durableId="321197725">
    <w:abstractNumId w:val="3"/>
  </w:num>
  <w:num w:numId="10" w16cid:durableId="1642538321">
    <w:abstractNumId w:val="7"/>
  </w:num>
  <w:num w:numId="11" w16cid:durableId="2109037422">
    <w:abstractNumId w:val="5"/>
  </w:num>
  <w:num w:numId="12" w16cid:durableId="2091272966">
    <w:abstractNumId w:val="4"/>
  </w:num>
  <w:num w:numId="13" w16cid:durableId="214510469">
    <w:abstractNumId w:val="8"/>
  </w:num>
  <w:num w:numId="14" w16cid:durableId="831214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1A"/>
    <w:rsid w:val="00053C5D"/>
    <w:rsid w:val="00083D5D"/>
    <w:rsid w:val="000F78AF"/>
    <w:rsid w:val="00104C8E"/>
    <w:rsid w:val="0011259B"/>
    <w:rsid w:val="00116538"/>
    <w:rsid w:val="001342D3"/>
    <w:rsid w:val="00134FBA"/>
    <w:rsid w:val="00136192"/>
    <w:rsid w:val="00141A58"/>
    <w:rsid w:val="00166BB2"/>
    <w:rsid w:val="001715AB"/>
    <w:rsid w:val="001963FA"/>
    <w:rsid w:val="001C5F50"/>
    <w:rsid w:val="001F3EDE"/>
    <w:rsid w:val="002652D2"/>
    <w:rsid w:val="002827B7"/>
    <w:rsid w:val="00286794"/>
    <w:rsid w:val="00297F1E"/>
    <w:rsid w:val="002B1AF5"/>
    <w:rsid w:val="002B2B6B"/>
    <w:rsid w:val="002B3CB7"/>
    <w:rsid w:val="002B71C1"/>
    <w:rsid w:val="002C3D3F"/>
    <w:rsid w:val="00321AE8"/>
    <w:rsid w:val="00322081"/>
    <w:rsid w:val="00345F3A"/>
    <w:rsid w:val="003622B7"/>
    <w:rsid w:val="003C2BDA"/>
    <w:rsid w:val="003E192D"/>
    <w:rsid w:val="003E50CB"/>
    <w:rsid w:val="00421A0E"/>
    <w:rsid w:val="004454D8"/>
    <w:rsid w:val="004670CD"/>
    <w:rsid w:val="004A2A9B"/>
    <w:rsid w:val="004A6455"/>
    <w:rsid w:val="004B2A73"/>
    <w:rsid w:val="004D1304"/>
    <w:rsid w:val="004F1EE1"/>
    <w:rsid w:val="004F4131"/>
    <w:rsid w:val="00535798"/>
    <w:rsid w:val="005479F2"/>
    <w:rsid w:val="0055046C"/>
    <w:rsid w:val="00552364"/>
    <w:rsid w:val="00593002"/>
    <w:rsid w:val="0059369C"/>
    <w:rsid w:val="0059408A"/>
    <w:rsid w:val="005B1F0B"/>
    <w:rsid w:val="005F7C21"/>
    <w:rsid w:val="006044F2"/>
    <w:rsid w:val="00632490"/>
    <w:rsid w:val="006367EB"/>
    <w:rsid w:val="006B394A"/>
    <w:rsid w:val="006F7348"/>
    <w:rsid w:val="0070641A"/>
    <w:rsid w:val="0073176D"/>
    <w:rsid w:val="007651AF"/>
    <w:rsid w:val="00772EE2"/>
    <w:rsid w:val="007A0321"/>
    <w:rsid w:val="007B1D7B"/>
    <w:rsid w:val="007C6B7E"/>
    <w:rsid w:val="008024A3"/>
    <w:rsid w:val="00802E97"/>
    <w:rsid w:val="00835998"/>
    <w:rsid w:val="00835A82"/>
    <w:rsid w:val="008C12FD"/>
    <w:rsid w:val="008E5F74"/>
    <w:rsid w:val="008F25BB"/>
    <w:rsid w:val="00945335"/>
    <w:rsid w:val="00962ECE"/>
    <w:rsid w:val="00965D8A"/>
    <w:rsid w:val="009867FF"/>
    <w:rsid w:val="00993A63"/>
    <w:rsid w:val="009C0658"/>
    <w:rsid w:val="009F0CCC"/>
    <w:rsid w:val="009F5EAB"/>
    <w:rsid w:val="00A21027"/>
    <w:rsid w:val="00A52BDC"/>
    <w:rsid w:val="00A551FF"/>
    <w:rsid w:val="00A62287"/>
    <w:rsid w:val="00A86F8F"/>
    <w:rsid w:val="00AB015E"/>
    <w:rsid w:val="00AE2A98"/>
    <w:rsid w:val="00AF4024"/>
    <w:rsid w:val="00B25330"/>
    <w:rsid w:val="00B31C73"/>
    <w:rsid w:val="00B461E7"/>
    <w:rsid w:val="00B54C4D"/>
    <w:rsid w:val="00B55B51"/>
    <w:rsid w:val="00B64B46"/>
    <w:rsid w:val="00B660CD"/>
    <w:rsid w:val="00B8105C"/>
    <w:rsid w:val="00BC7CB5"/>
    <w:rsid w:val="00BE7BCB"/>
    <w:rsid w:val="00C0649F"/>
    <w:rsid w:val="00C26893"/>
    <w:rsid w:val="00C44412"/>
    <w:rsid w:val="00C552A9"/>
    <w:rsid w:val="00C56363"/>
    <w:rsid w:val="00C61917"/>
    <w:rsid w:val="00CA1B40"/>
    <w:rsid w:val="00CB6AE2"/>
    <w:rsid w:val="00CB70AC"/>
    <w:rsid w:val="00CD450D"/>
    <w:rsid w:val="00CD6A50"/>
    <w:rsid w:val="00CF12F5"/>
    <w:rsid w:val="00D339BD"/>
    <w:rsid w:val="00D71394"/>
    <w:rsid w:val="00D72E67"/>
    <w:rsid w:val="00D87D8C"/>
    <w:rsid w:val="00DB10D6"/>
    <w:rsid w:val="00DC1C59"/>
    <w:rsid w:val="00E3438D"/>
    <w:rsid w:val="00E53ADA"/>
    <w:rsid w:val="00E62622"/>
    <w:rsid w:val="00E64BA3"/>
    <w:rsid w:val="00E87F2E"/>
    <w:rsid w:val="00EA0927"/>
    <w:rsid w:val="00EE1C5C"/>
    <w:rsid w:val="00F30ACC"/>
    <w:rsid w:val="00F85D40"/>
    <w:rsid w:val="00FA5BC0"/>
    <w:rsid w:val="00FD4E11"/>
    <w:rsid w:val="00FE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817B5"/>
  <w15:chartTrackingRefBased/>
  <w15:docId w15:val="{E0223F25-F890-4498-8939-A6DB75ECE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F0B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autoRedefine/>
    <w:qFormat/>
    <w:rsid w:val="002B71C1"/>
    <w:pPr>
      <w:keepNext/>
      <w:numPr>
        <w:numId w:val="2"/>
      </w:numPr>
      <w:spacing w:before="240" w:after="60" w:line="240" w:lineRule="auto"/>
      <w:outlineLvl w:val="0"/>
    </w:pPr>
    <w:rPr>
      <w:rFonts w:ascii="Times New Roman" w:eastAsia="PMingLiU" w:hAnsi="Times New Roman" w:cs="Arial"/>
      <w:b/>
      <w:bCs/>
      <w:kern w:val="32"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64B46"/>
    <w:pPr>
      <w:keepNext/>
      <w:keepLines/>
      <w:spacing w:before="160" w:after="80"/>
      <w:outlineLvl w:val="1"/>
    </w:pPr>
    <w:rPr>
      <w:rFonts w:eastAsiaTheme="majorEastAsia" w:cstheme="majorBidi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71C1"/>
    <w:rPr>
      <w:rFonts w:ascii="Times New Roman" w:eastAsia="PMingLiU" w:hAnsi="Times New Roman" w:cs="Arial"/>
      <w:b/>
      <w:bCs/>
      <w:kern w:val="32"/>
      <w:sz w:val="28"/>
      <w:szCs w:val="32"/>
      <w:lang w:val="en-US"/>
    </w:rPr>
  </w:style>
  <w:style w:type="paragraph" w:styleId="Caption">
    <w:name w:val="caption"/>
    <w:basedOn w:val="Normal"/>
    <w:next w:val="Normal"/>
    <w:autoRedefine/>
    <w:qFormat/>
    <w:rsid w:val="002B71C1"/>
    <w:pPr>
      <w:spacing w:after="0" w:line="240" w:lineRule="auto"/>
      <w:jc w:val="center"/>
    </w:pPr>
    <w:rPr>
      <w:rFonts w:ascii="Times New Roman" w:eastAsia="PMingLiU" w:hAnsi="Times New Roman" w:cs="Times New Roman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64B46"/>
    <w:rPr>
      <w:rFonts w:ascii="Calibri" w:eastAsiaTheme="majorEastAsia" w:hAnsi="Calibri" w:cstheme="majorBidi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1C1"/>
    <w:rPr>
      <w:rFonts w:ascii="Calibri" w:eastAsiaTheme="majorEastAsia" w:hAnsi="Calibr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1C1"/>
    <w:rPr>
      <w:rFonts w:ascii="Calibri" w:eastAsiaTheme="majorEastAsia" w:hAnsi="Calibr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1C1"/>
    <w:rPr>
      <w:rFonts w:ascii="Calibri" w:eastAsiaTheme="majorEastAsia" w:hAnsi="Calibr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1C1"/>
    <w:rPr>
      <w:rFonts w:ascii="Calibri" w:eastAsiaTheme="majorEastAsia" w:hAnsi="Calibr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1C1"/>
    <w:rPr>
      <w:rFonts w:ascii="Calibri" w:eastAsiaTheme="majorEastAsia" w:hAnsi="Calibr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1C1"/>
    <w:rPr>
      <w:rFonts w:ascii="Calibri" w:eastAsiaTheme="majorEastAsia" w:hAnsi="Calibr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1C1"/>
    <w:rPr>
      <w:rFonts w:ascii="Calibri" w:eastAsiaTheme="majorEastAsia" w:hAnsi="Calibr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1C1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B71C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B7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1C1"/>
    <w:rPr>
      <w:rFonts w:ascii="Calibri" w:hAnsi="Calibri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1C1"/>
    <w:rPr>
      <w:rFonts w:ascii="Calibri" w:hAnsi="Calibri"/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B7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1C1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2C3D3F"/>
    <w:pPr>
      <w:numPr>
        <w:numId w:val="5"/>
      </w:numPr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4670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4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9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65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3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1470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Giannakopoulos</dc:creator>
  <cp:keywords/>
  <dc:description/>
  <cp:lastModifiedBy>Georgios Giannakopoulos</cp:lastModifiedBy>
  <cp:revision>3</cp:revision>
  <dcterms:created xsi:type="dcterms:W3CDTF">2025-12-28T17:29:00Z</dcterms:created>
  <dcterms:modified xsi:type="dcterms:W3CDTF">2025-12-28T17:31:00Z</dcterms:modified>
</cp:coreProperties>
</file>