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Legal Analysis: OE_reference_bill</w:t>
      </w:r>
    </w:p>
    <w:p>
      <w:r>
        <w:t>Document: OE_reference_bill</w:t>
      </w:r>
    </w:p>
    <w:p>
      <w:r>
        <w:t>Articles analyzed: 91</w:t>
      </w:r>
    </w:p>
    <w:p>
      <w:r>
        <w:t>Total findings: 1</w:t>
      </w:r>
    </w:p>
    <w:p>
      <w:r>
        <w:t>Severity breakdown: medium: 1</w:t>
      </w:r>
    </w:p>
    <w:p>
      <w:r>
        <w:t>Type breakdown: eu_compliance: 1</w:t>
      </w:r>
    </w:p>
    <w:p/>
    <w:p>
      <w:pPr>
        <w:pStyle w:val="Heading2"/>
      </w:pPr>
      <w:r>
        <w:t>Άρθρο 53</w:t>
      </w:r>
    </w:p>
    <w:p>
      <w:r>
        <w:rPr>
          <w:b/>
        </w:rPr>
        <w:t>EU_COMPLIANCE</w:t>
      </w:r>
      <w:r>
        <w:t xml:space="preserve"> — Severity: medium, Confidence: 1.0</w:t>
      </w:r>
    </w:p>
    <w:p>
      <w:pPr>
        <w:pStyle w:val="ListBullet"/>
      </w:pPr>
      <w:r>
        <w:t>Issue: Έλλειψη πρόβλεψης για Μελέτη Αντικτύπου Προστασίας Δεδομένων (ΔΠΑ/DPIA)</w:t>
      </w:r>
    </w:p>
    <w:p>
      <w:pPr>
        <w:pStyle w:val="ListBullet"/>
      </w:pPr>
      <w:r>
        <w:t>Conclusion: Υπάρχει ζήτημα συμβατότητας, καθώς η φύση και το εύρος της επεξεργασίας δεδομένων προσωπικού χαρακτήρου που προβλέπεται στο άρθρο 53, ιδίως λόγω της δημόσιας καταχώρισης δεδομένων και της απουσίας προβλέψεων για την ελαχιστοποίηση και τις διασφαλίσεις, καθιστά πιθανή την απαίτηση διενέργειας ΔΠΑ, σύμφωνα με το Άρθρο 35 ΓΚΠΔ. Η απουσία σχετικής πρόβλεψης αποτελεί παράλειψη, ανεξάρτητα από το αν τα δεδομένα είναι ευαίσθητα ή όχι.</w:t>
      </w:r>
    </w:p>
    <w:p>
      <w:pPr>
        <w:pStyle w:val="ListBullet"/>
      </w:pPr>
      <w:r>
        <w:t>Evidence: _Το πρακτικό διαμεσολάβησης καταχωρίζεταιαμελλητί στο οικείο Κτηματολογικό Γραφείο με επισυναπτόμενα έγγραφα και αποδεικτικά</w:t>
        <w:br/>
        <w:t>στοιχεία που ελήφθησαν υπόψη για τη νομική θεμελίωση της αξίωσης. Ως αναφερόμενηαιτία κτήσης στο κτηματολογικό φύλλο αναγράφεται η έκτακτη χρησικτησία._</w:t>
      </w:r>
    </w:p>
    <w:p/>
    <w:p>
      <w:r>
        <w:rPr>
          <w:b/>
        </w:rPr>
        <w:t>Suggestions:</w:t>
      </w:r>
    </w:p>
    <w:p>
      <w:pPr>
        <w:pStyle w:val="ListBullet"/>
      </w:pPr>
      <w:r>
        <w:t>[minimal_change] Ensure alignment with relevant EU directive: Άρθρο 35 ΓΚΠΔ - Εκτίμηση αντικτύπου σχετικά με την προστασία δεδομένων. Απαιτείτ</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