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Analysis: OE_reference_bill</w:t>
      </w:r>
    </w:p>
    <w:p>
      <w:r>
        <w:t>Document: OE_reference_bill</w:t>
      </w:r>
    </w:p>
    <w:p>
      <w:r>
        <w:t>Articles analyzed: 91</w:t>
      </w:r>
    </w:p>
    <w:p>
      <w:r>
        <w:t>Total findings: 1</w:t>
      </w:r>
    </w:p>
    <w:p>
      <w:r>
        <w:t>Severity breakdown: medium: 1</w:t>
      </w:r>
    </w:p>
    <w:p>
      <w:r>
        <w:t>Type breakdown: eu_compliance: 1</w:t>
      </w:r>
    </w:p>
    <w:p/>
    <w:p>
      <w:pPr>
        <w:pStyle w:val="Heading2"/>
      </w:pPr>
      <w:r>
        <w:t>Overview</w:t>
      </w:r>
    </w:p>
    <w:p>
      <w:r>
        <w:t xml:space="preserve">This report analyzes </w:t>
      </w:r>
      <w:r>
        <w:rPr>
          <w:b/>
        </w:rPr>
        <w:t>OE_reference_bill</w:t>
      </w:r>
      <w:r>
        <w:t xml:space="preserve"> (91 articles, 1 findings). The analysis identified 0 high-severity issues.</w:t>
      </w:r>
    </w:p>
    <w:p>
      <w:pPr>
        <w:pStyle w:val="Heading2"/>
      </w:pPr>
      <w:r>
        <w:t>Medium-Severity Issues</w:t>
      </w:r>
    </w:p>
    <w:p>
      <w:pPr>
        <w:pStyle w:val="ListBullet"/>
      </w:pPr>
      <w:r>
        <w:t>Έλλειψη πρόβλεψης για Μελέτη Αντικτύπου Προστασίας Δεδομένων (ΔΠΑ/DPIA) (eu_gdpr)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Ensure alignment with relevant EU directive: Άρθρο 35 ΓΚΠΔ - Εκτίμηση αντικτύπου σχετικά με την προστασία δεδομένων. Απαιτείτ (priority: high)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