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Underlying Currency Dominance War in Stablecoin Regulation: MiCA and the GENIUS Act</w:t>
      </w:r>
    </w:p>
    <w:p>
      <w:r>
        <w:rPr>
          <w:i/>
        </w:rPr>
        <w:t>Two landmark laws, one unspoken battlefield. Strip away the compliance details and stablecoin regulation is monetary geopolitics by other means.</w:t>
      </w:r>
    </w:p>
    <w:p>
      <w:r>
        <w:t>On July 18, 2025, the United States signed the GENIUS Act into law. A year earlier, on June 30, 2024, the stablecoin titles of Europe's MiCA regulation went live. Read side by side, they look like siblings: both demand 1:1 reserves, both ban paying interest to holders, both force redemption at par, both put issuers under bank-style supervision.</w:t>
      </w:r>
    </w:p>
    <w:p>
      <w:r>
        <w:t>Read them again, and they are opposing war plans.</w:t>
      </w:r>
    </w:p>
    <w:p>
      <w:pPr>
        <w:pStyle w:val="Heading1"/>
      </w:pPr>
      <w:r>
        <w:t>The number that explains everything</w:t>
      </w:r>
    </w:p>
    <w:p>
      <w:r>
        <w:t xml:space="preserve">Roughly </w:t>
      </w:r>
      <w:r>
        <w:rPr>
          <w:b/>
        </w:rPr>
        <w:t>99% of the ~$300 billion stablecoin market is pegged to the US dollar</w:t>
      </w:r>
      <w:r>
        <w:t xml:space="preserve">. Euro stablecoins? </w:t>
      </w:r>
      <w:r>
        <w:rPr>
          <w:b/>
        </w:rPr>
        <w:t>Well under €1 billion, less than 0.2% of the market</w:t>
      </w:r>
      <w:r>
        <w:t xml:space="preserve"> </w:t>
      </w:r>
      <w:r>
        <w:rPr>
          <w:vertAlign w:val="superscript"/>
        </w:rPr>
        <w:t>1</w:t>
      </w:r>
      <w:r>
        <w:t>. That's not a market share. That's a rout.</w:t>
      </w:r>
    </w:p>
    <w:p>
      <w:r>
        <w:t xml:space="preserve">And the money is not idle. Tether's end-2025 attestation reported a record </w:t>
      </w:r>
      <w:r>
        <w:rPr>
          <w:b/>
        </w:rPr>
        <w:t>~$141 billion of exposure to US Treasuries ($122 billion held directly) — more than Germany's entire holdings of US debt, placing Tether among the top twenty holders worldwide</w:t>
      </w:r>
      <w:r>
        <w:t xml:space="preserve"> </w:t>
      </w:r>
      <w:r>
        <w:rPr>
          <w:vertAlign w:val="superscript"/>
        </w:rPr>
        <w:t>2</w:t>
      </w:r>
      <w:r>
        <w:t xml:space="preserve">. Add Circle's ~$65 billion </w:t>
      </w:r>
      <w:r>
        <w:rPr>
          <w:vertAlign w:val="superscript"/>
        </w:rPr>
        <w:t>3</w:t>
      </w:r>
      <w:r>
        <w:t xml:space="preserve"> and stablecoin issuers already rival mid-sized sovereigns as financiers of the US government.</w:t>
      </w:r>
    </w:p>
    <w:p>
      <w:r>
        <w:t>Once you see that, both laws snap into focus.</w:t>
      </w:r>
    </w:p>
    <w:p>
      <w:pPr>
        <w:pStyle w:val="Heading1"/>
      </w:pPr>
      <w:r>
        <w:t>The GENIUS Act: offense</w:t>
      </w:r>
    </w:p>
    <w:p>
      <w:r>
        <w:t xml:space="preserve">Washington did not regulate stablecoins to contain them. It regulated them to </w:t>
      </w:r>
      <w:r>
        <w:rPr>
          <w:b/>
        </w:rPr>
        <w:t>weaponize them</w:t>
      </w:r>
      <w:r>
        <w:t>.</w:t>
      </w:r>
    </w:p>
    <w:p>
      <w:r>
        <w:t xml:space="preserve">The Act's reserve rules allow essentially one thing: cash, insured deposits, and </w:t>
      </w:r>
      <w:r>
        <w:rPr>
          <w:b/>
        </w:rPr>
        <w:t>US Treasuries with maturities of 93 days or less</w:t>
      </w:r>
      <w:r>
        <w:t xml:space="preserve"> (plus repos and government money market funds built on the same) </w:t>
      </w:r>
      <w:r>
        <w:rPr>
          <w:vertAlign w:val="superscript"/>
        </w:rPr>
        <w:t>4</w:t>
      </w:r>
      <w:r>
        <w:t xml:space="preserve">. Every dollar of global stablecoin growth is now structurally channeled into short-dated US debt. Treasury Secretary Scott Bessent said the quiet part out loud at signing: stablecoins "will buttress the dollar's status as the global reserve currency… and lead to a surge in demand for US Treasuries" </w:t>
      </w:r>
      <w:r>
        <w:rPr>
          <w:vertAlign w:val="superscript"/>
        </w:rPr>
        <w:t>5</w:t>
      </w:r>
      <w:r>
        <w:t xml:space="preserve">. He has amplified projections of a </w:t>
      </w:r>
      <w:r>
        <w:rPr>
          <w:b/>
        </w:rPr>
        <w:t>$3.7 trillion market by 2030</w:t>
      </w:r>
      <w:r>
        <w:t xml:space="preserve"> </w:t>
      </w:r>
      <w:r>
        <w:rPr>
          <w:vertAlign w:val="superscript"/>
        </w:rPr>
        <w:t>6</w:t>
      </w:r>
      <w:r>
        <w:t xml:space="preserve">. Standard Chartered translates a $2 trillion market into </w:t>
      </w:r>
      <w:r>
        <w:rPr>
          <w:b/>
        </w:rPr>
        <w:t>~$1.6 trillion of new T-bill demand, roughly all the net new bills the US plans to issue</w:t>
      </w:r>
      <w:r>
        <w:t xml:space="preserve"> in that window </w:t>
      </w:r>
      <w:r>
        <w:rPr>
          <w:vertAlign w:val="superscript"/>
        </w:rPr>
        <w:t>7</w:t>
      </w:r>
      <w:r>
        <w:t xml:space="preserve">. Citi thinks issuers could out-hold every foreign sovereign creditor by 2030 </w:t>
      </w:r>
      <w:r>
        <w:rPr>
          <w:vertAlign w:val="superscript"/>
        </w:rPr>
        <w:t>8</w:t>
      </w:r>
      <w:r>
        <w:t>.</w:t>
      </w:r>
    </w:p>
    <w:p>
      <w:r>
        <w:t xml:space="preserve">This is the eurodollar playbook, updated. In the 1960s-70s, offshore dollar markets entrenched the dollar's dominance far beyond US borders. Stablecoins are Eurodollars 2.0, except this time the reserves sit in T-bills by statute, the rail is a smartphone, and adoption is strongest exactly where the dollar wins by default: in a Castle Island survey across five emerging markets, </w:t>
      </w:r>
      <w:r>
        <w:rPr>
          <w:b/>
        </w:rPr>
        <w:t>47% of stablecoin users cited "access to dollars" as a main reason for using them</w:t>
      </w:r>
      <w:r>
        <w:t xml:space="preserve"> </w:t>
      </w:r>
      <w:r>
        <w:rPr>
          <w:vertAlign w:val="superscript"/>
        </w:rPr>
        <w:t>9</w:t>
      </w:r>
      <w:r>
        <w:t>. Argentina, Turkey, Nigeria: digital dollarization is already happening; the GENIUS Act just gave it a federal charter.</w:t>
      </w:r>
    </w:p>
    <w:p>
      <w:pPr>
        <w:pStyle w:val="Heading1"/>
      </w:pPr>
      <w:r>
        <w:t>MiCA: defense</w:t>
      </w:r>
    </w:p>
    <w:p>
      <w:r>
        <w:t>Now look at what Europe built. MiCA's stablecoin regime reads like a fortification manual:</w:t>
      </w:r>
    </w:p>
    <w:p>
      <w:pPr>
        <w:pStyle w:val="ListBullet"/>
      </w:pPr>
      <w:r>
        <w:rPr>
          <w:b/>
        </w:rPr>
        <w:t>Article 23 usage caps</w:t>
      </w:r>
      <w:r>
        <w:t xml:space="preserve"> (extended to non-euro tokens via Article 58(3)): if a foreign-currency stablecoin used as a means of exchange exceeds </w:t>
      </w:r>
      <w:r>
        <w:rPr>
          <w:b/>
        </w:rPr>
        <w:t>1 million transactions and €200 million per day</w:t>
      </w:r>
      <w:r>
        <w:t xml:space="preserve"> in the euro area, the issuer must </w:t>
      </w:r>
      <w:r>
        <w:rPr>
          <w:i/>
        </w:rPr>
        <w:t>stop issuing</w:t>
      </w:r>
      <w:r>
        <w:t xml:space="preserve"> and file a plan to shrink </w:t>
      </w:r>
      <w:r>
        <w:rPr>
          <w:vertAlign w:val="superscript"/>
        </w:rPr>
        <w:t>10</w:t>
      </w:r>
      <w:r>
        <w:t>. There is no equivalent anywhere in the GENIUS Act, because the US has nothing to defend against.</w:t>
      </w:r>
    </w:p>
    <w:p>
      <w:pPr>
        <w:pStyle w:val="ListBullet"/>
      </w:pPr>
      <w:r>
        <w:rPr>
          <w:b/>
        </w:rPr>
        <w:t>Reserve localization</w:t>
      </w:r>
      <w:r>
        <w:t xml:space="preserve">: 30% of reserves in EU bank deposits, rising to </w:t>
      </w:r>
      <w:r>
        <w:rPr>
          <w:b/>
        </w:rPr>
        <w:t>60% for "significant" tokens</w:t>
      </w:r>
      <w:r>
        <w:t xml:space="preserve">, the rule Tether's Paolo Ardoino called a systemic risk, and the stated reason Tether refused to seek authorization at all </w:t>
      </w:r>
      <w:r>
        <w:rPr>
          <w:vertAlign w:val="superscript"/>
        </w:rPr>
        <w:t>11</w:t>
      </w:r>
      <w:r>
        <w:t xml:space="preserve">. Result: USDT, the world's largest stablecoin, was delisted for EU users by Coinbase, Kraken, Crypto.com and Binance by March 2025 </w:t>
      </w:r>
      <w:r>
        <w:rPr>
          <w:vertAlign w:val="superscript"/>
        </w:rPr>
        <w:t>12</w:t>
      </w:r>
      <w:r>
        <w:t>.</w:t>
      </w:r>
    </w:p>
    <w:p>
      <w:pPr>
        <w:pStyle w:val="ListBullet"/>
      </w:pPr>
      <w:r>
        <w:t xml:space="preserve">The </w:t>
      </w:r>
      <w:r>
        <w:rPr>
          <w:b/>
        </w:rPr>
        <w:t>ECB's veto instincts</w:t>
      </w:r>
      <w:r>
        <w:t xml:space="preserve">: an April 2025 ECB non-paper fought "multi-issuance" (the same token minted inside and outside the EU) on the grounds that a global run would drain EU-held reserves </w:t>
      </w:r>
      <w:r>
        <w:rPr>
          <w:vertAlign w:val="superscript"/>
        </w:rPr>
        <w:t>13</w:t>
      </w:r>
      <w:r>
        <w:t>. Christine Lagarde calls dollar stablecoins a "privatization of money" and warned in May 2026 of the "</w:t>
      </w:r>
      <w:r>
        <w:rPr>
          <w:b/>
        </w:rPr>
        <w:t>digital dollarisation</w:t>
      </w:r>
      <w:r>
        <w:t xml:space="preserve">" of Europe </w:t>
      </w:r>
      <w:r>
        <w:rPr>
          <w:vertAlign w:val="superscript"/>
        </w:rPr>
        <w:t>14</w:t>
      </w:r>
      <w:r>
        <w:t xml:space="preserve">. ECB board member Piero Cipollone is more explicit: dependence on foreign stablecoins "excessively undermines resilience and compromises monetary sovereignty," and he has warned that US dollar-stablecoin promotion risks shifting euro deposits, payment fees and data to America </w:t>
      </w:r>
      <w:r>
        <w:rPr>
          <w:vertAlign w:val="superscript"/>
        </w:rPr>
        <w:t>15</w:t>
      </w:r>
      <w:r>
        <w:t>.</w:t>
      </w:r>
    </w:p>
    <w:p>
      <w:r>
        <w:t xml:space="preserve">And the counterattack: the </w:t>
      </w:r>
      <w:r>
        <w:rPr>
          <w:b/>
        </w:rPr>
        <w:t>digital euro</w:t>
      </w:r>
      <w:r>
        <w:t xml:space="preserve">. The ECB closed its preparation phase in October 2025; the European Parliament's economic committee adopted its position on 23 June 2026 by a 43-14 vote, reported in the European press, without embarrassment, as a project "to reduce US dominance in payments." Pilot in mid-2027, possible first issuance in 2029, all contingent on the EU co-legislators adopting the regulation in 2026 </w:t>
      </w:r>
      <w:r>
        <w:rPr>
          <w:vertAlign w:val="superscript"/>
        </w:rPr>
        <w:t>16</w:t>
      </w:r>
      <w:r>
        <w:t xml:space="preserve">. And note the perfect inversion across the Atlantic: the House-passed CLARITY Act carries a title literally named the "Anti-CBDC Surveillance State Act," banning the Federal Reserve from offering a retail digital dollar </w:t>
      </w:r>
      <w:r>
        <w:rPr>
          <w:vertAlign w:val="superscript"/>
        </w:rPr>
        <w:t>32</w:t>
      </w:r>
      <w:r>
        <w:t>. Europe is building a public digital currency to defend against private dollar coins; America is banning its public option to clear the field for them.</w:t>
      </w:r>
    </w:p>
    <w:p>
      <w:pPr>
        <w:pStyle w:val="Heading1"/>
      </w:pPr>
      <w:r>
        <w:t>Same tools, opposite doctrines</w:t>
      </w:r>
    </w:p>
    <w:p>
      <w:r>
        <w:t>Here's the elegant irony: the two laws use nearly identical instruments for opposite strategic ends.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Instrument</w:t>
            </w:r>
          </w:p>
        </w:tc>
        <w:tc>
          <w:tcPr>
            <w:tcW w:type="dxa" w:w="2880"/>
          </w:tcPr>
          <w:p>
            <w:r>
              <w:rPr>
                <w:b/>
              </w:rPr>
              <w:t>GENIUS (US)</w:t>
            </w:r>
          </w:p>
        </w:tc>
        <w:tc>
          <w:tcPr>
            <w:tcW w:type="dxa" w:w="2880"/>
          </w:tcPr>
          <w:p>
            <w:r>
              <w:rPr>
                <w:b/>
              </w:rPr>
              <w:t>MiCA (EU)</w:t>
            </w:r>
          </w:p>
        </w:tc>
      </w:tr>
      <w:tr>
        <w:tc>
          <w:tcPr>
            <w:tcW w:type="dxa" w:w="2880"/>
          </w:tcPr>
          <w:p>
            <w:r>
              <w:t>1:1 reserves</w:t>
            </w:r>
          </w:p>
        </w:tc>
        <w:tc>
          <w:tcPr>
            <w:tcW w:type="dxa" w:w="2880"/>
          </w:tcPr>
          <w:p>
            <w:r>
              <w:t>Channel global demand into T-bills</w:t>
            </w:r>
          </w:p>
        </w:tc>
        <w:tc>
          <w:tcPr>
            <w:tcW w:type="dxa" w:w="2880"/>
          </w:tcPr>
          <w:p>
            <w:r>
              <w:t>Keep money and risk inside EU banks</w:t>
            </w:r>
          </w:p>
        </w:tc>
      </w:tr>
      <w:tr>
        <w:tc>
          <w:tcPr>
            <w:tcW w:type="dxa" w:w="2880"/>
          </w:tcPr>
          <w:p>
            <w:r>
              <w:t>Interest ban</w:t>
            </w:r>
          </w:p>
        </w:tc>
        <w:tc>
          <w:tcPr>
            <w:tcW w:type="dxa" w:w="2880"/>
          </w:tcPr>
          <w:p>
            <w:r>
              <w:t>Protect US bank deposits at home</w:t>
            </w:r>
          </w:p>
        </w:tc>
        <w:tc>
          <w:tcPr>
            <w:tcW w:type="dxa" w:w="2880"/>
          </w:tcPr>
          <w:p>
            <w:r>
              <w:t>Protect EU bank deposits at home</w:t>
            </w:r>
          </w:p>
        </w:tc>
      </w:tr>
      <w:tr>
        <w:tc>
          <w:tcPr>
            <w:tcW w:type="dxa" w:w="2880"/>
          </w:tcPr>
          <w:p>
            <w:r>
              <w:t>Foreign-issuer rules</w:t>
            </w:r>
          </w:p>
        </w:tc>
        <w:tc>
          <w:tcPr>
            <w:tcW w:type="dxa" w:w="2880"/>
          </w:tcPr>
          <w:p>
            <w:r>
              <w:t xml:space="preserve">Reciprocity to </w:t>
            </w:r>
            <w:r>
              <w:rPr>
                <w:i/>
              </w:rPr>
              <w:t>export</w:t>
            </w:r>
            <w:r>
              <w:t xml:space="preserve"> the dollar rail</w:t>
            </w:r>
          </w:p>
        </w:tc>
        <w:tc>
          <w:tcPr>
            <w:tcW w:type="dxa" w:w="2880"/>
          </w:tcPr>
          <w:p>
            <w:r>
              <w:t xml:space="preserve">Caps and localization to </w:t>
            </w:r>
            <w:r>
              <w:rPr>
                <w:i/>
              </w:rPr>
              <w:t>block</w:t>
            </w:r>
            <w:r>
              <w:t xml:space="preserve"> the dollar rail</w:t>
            </w:r>
          </w:p>
        </w:tc>
      </w:tr>
      <w:tr>
        <w:tc>
          <w:tcPr>
            <w:tcW w:type="dxa" w:w="2880"/>
          </w:tcPr>
          <w:p>
            <w:r>
              <w:t>End goal</w:t>
            </w:r>
          </w:p>
        </w:tc>
        <w:tc>
          <w:tcPr>
            <w:tcW w:type="dxa" w:w="2880"/>
          </w:tcPr>
          <w:p>
            <w:r>
              <w:t>Dollar everywhere</w:t>
            </w:r>
          </w:p>
        </w:tc>
        <w:tc>
          <w:tcPr>
            <w:tcW w:type="dxa" w:w="2880"/>
          </w:tcPr>
          <w:p>
            <w:r>
              <w:t>Euro survives at home</w:t>
            </w:r>
          </w:p>
        </w:tc>
      </w:tr>
    </w:tbl>
    <w:p>
      <w:r>
        <w:t>The US wrote an export license. Europe wrote an import restriction. Both are talking about the same product: the dollar.</w:t>
      </w:r>
    </w:p>
    <w:p>
      <w:pPr>
        <w:pStyle w:val="Heading1"/>
      </w:pPr>
      <w:r>
        <w:t>What actually decides this war</w:t>
      </w:r>
    </w:p>
    <w:p>
      <w:r>
        <w:rPr>
          <w:b/>
        </w:rPr>
        <w:t>Network effects.</w:t>
      </w:r>
      <w:r>
        <w:t xml:space="preserve"> Payments are winner-take-most. The first credible, regulated, liquid digital-currency rail tends to keep the market, which is why a one-year head start on rulebooks matters more than any single provision.</w:t>
      </w:r>
    </w:p>
    <w:p>
      <w:r>
        <w:rPr>
          <w:b/>
        </w:rPr>
        <w:t>The multi-issuance fight.</w:t>
      </w:r>
      <w:r>
        <w:t xml:space="preserve"> Whether globally fungible tokens can straddle the EU border is MiCA's credibility test (the ESRB says close the door; the Commission wants it open, with a full MiCA review due by mid-2027) </w:t>
      </w:r>
      <w:r>
        <w:rPr>
          <w:vertAlign w:val="superscript"/>
        </w:rPr>
        <w:t>17</w:t>
      </w:r>
      <w:r>
        <w:t>. The answer determines whether Europe's fortress has a gate, or a breach.</w:t>
      </w:r>
    </w:p>
    <w:p>
      <w:r>
        <w:rPr>
          <w:b/>
        </w:rPr>
        <w:t>The digital euro's clock.</w:t>
      </w:r>
      <w:r>
        <w:t xml:space="preserve"> Euro stablecoins are 0.2% of the market and the public alternative won't circulate before 2029 at best. As one Forbes headline put it: euro stablecoins are scaling "while the digital euro waits on Brussels" </w:t>
      </w:r>
      <w:r>
        <w:rPr>
          <w:vertAlign w:val="superscript"/>
        </w:rPr>
        <w:t>18</w:t>
      </w:r>
      <w:r>
        <w:t>.</w:t>
      </w:r>
    </w:p>
    <w:p>
      <w:r>
        <w:rPr>
          <w:b/>
        </w:rPr>
        <w:t>And the skeptics deserve a hearing.</w:t>
      </w:r>
      <w:r>
        <w:t xml:space="preserve"> The Kansas City Fed notes stablecoins raise Treasury demand mostly by cannibalizing money market funds and deposits: substitution, not new money </w:t>
      </w:r>
      <w:r>
        <w:rPr>
          <w:vertAlign w:val="superscript"/>
        </w:rPr>
        <w:t>19</w:t>
      </w:r>
      <w:r>
        <w:t xml:space="preserve">. The Bank for International Settlements — the Basel-based "central bank of central banks" — argues stablecoins fail the basic tests of money — singleness, elasticity, integrity, with interoperability added in its 2026 update — and trade more like ETFs </w:t>
      </w:r>
      <w:r>
        <w:rPr>
          <w:vertAlign w:val="superscript"/>
        </w:rPr>
        <w:t>20</w:t>
      </w:r>
      <w:r>
        <w:t xml:space="preserve">. USDC's depeg to $0.87 in March 2023 is a reminder that the weapon can misfire </w:t>
      </w:r>
      <w:r>
        <w:rPr>
          <w:vertAlign w:val="superscript"/>
        </w:rPr>
        <w:t>21</w:t>
      </w:r>
      <w:r>
        <w:t>. A $100B+ T-bill fire-sale in a stablecoin run would be a US problem, not just a crypto one.</w:t>
      </w:r>
    </w:p>
    <w:p>
      <w:pPr>
        <w:pStyle w:val="Heading1"/>
      </w:pPr>
      <w:r>
        <w:t>The war's clearest evidence: USDT under fire</w:t>
      </w:r>
    </w:p>
    <w:p>
      <w:r>
        <w:t xml:space="preserve">USDT is not just another token. It is crypto's </w:t>
      </w:r>
      <w:r>
        <w:rPr>
          <w:b/>
        </w:rPr>
        <w:t>unit of account</w:t>
      </w:r>
      <w:r>
        <w:t xml:space="preserve">: the most common trading pair on earth, the currency in which the market quotes itself. When MiCA went live, it offered Tether a binary choice: comply now by parking up to 60 percent of reserves in EU bank deposits (a rule Paolo Ardoino himself called a bank-run risk), or leave the EU market entirely </w:t>
      </w:r>
      <w:r>
        <w:rPr>
          <w:vertAlign w:val="superscript"/>
        </w:rPr>
        <w:t>11</w:t>
      </w:r>
      <w:r>
        <w:t>. Tether chose to leave.</w:t>
      </w:r>
    </w:p>
    <w:p>
      <w:r>
        <w:t xml:space="preserve">The result speaks louder than any regulatory debate. USDT was delisted across Coinbase, Kraken, Crypto.com and Binance for EU users by March 2025 </w:t>
      </w:r>
      <w:r>
        <w:rPr>
          <w:vertAlign w:val="superscript"/>
        </w:rPr>
        <w:t>12</w:t>
      </w:r>
      <w:r>
        <w:t xml:space="preserve">. And the wall is still closing: with MiCA's final transition window shut on July 1, 2026, the fintech Revolut is now removing USDT for its European users in stages — purchases blocked July 6, deposits off July 30, full delisting August 31, 2026, with any leftover balances auto-converted to fiat </w:t>
      </w:r>
      <w:r>
        <w:rPr>
          <w:vertAlign w:val="superscript"/>
        </w:rPr>
        <w:t>33</w:t>
      </w:r>
      <w:r>
        <w:t xml:space="preserve">. </w:t>
      </w:r>
      <w:r>
        <w:rPr>
          <w:b/>
        </w:rPr>
        <w:t>USDT volumes on EU venues collapsed by more than 70% between Q4 2024 and Q2 2025, and order-book depth on USDT/EUR pairs evaporated</w:t>
      </w:r>
      <w:r>
        <w:t xml:space="preserve"> </w:t>
      </w:r>
      <w:r>
        <w:rPr>
          <w:vertAlign w:val="superscript"/>
        </w:rPr>
        <w:t>22</w:t>
      </w:r>
      <w:r>
        <w:t xml:space="preserve">. But here is what MiCA's architects did not anticipate: global liquidity did not migrate to Europe's compliant alternatives. It simply carried on trading in USDT outside Europe, on offshore and decentralized venues beyond any EU supervisor's reach. This is not a fringe reading: market analysts warned from day one that restricting the most-used stablecoin would fragment liquidity and push activity offshore </w:t>
      </w:r>
      <w:r>
        <w:rPr>
          <w:vertAlign w:val="superscript"/>
        </w:rPr>
        <w:t>22</w:t>
      </w:r>
      <w:r>
        <w:t xml:space="preserve">, and Oxford legal scholars have argued that MiCA's transaction caps and reserve-localization rules risk handicapping the continent while USD stablecoins dominate globally </w:t>
      </w:r>
      <w:r>
        <w:rPr>
          <w:vertAlign w:val="superscript"/>
        </w:rPr>
        <w:t>23</w:t>
      </w:r>
      <w:r>
        <w:t>. By building a wall instead of a bridge, MiCA did not regulate crypto's main trading currency. It cut the European Union out of it, and pushed the very activity it wanted to supervise into the dark.</w:t>
      </w:r>
    </w:p>
    <w:p>
      <w:r>
        <w:t xml:space="preserve">Washington read the same problem and built the opposite structure: a </w:t>
      </w:r>
      <w:r>
        <w:rPr>
          <w:b/>
        </w:rPr>
        <w:t>bridge, with a clock on it</w:t>
      </w:r>
      <w:r>
        <w:t xml:space="preserve">. USDT is fully legal in the US today. The GENIUS Act's issuance rules bite in January 2027, but the real deadline is </w:t>
      </w:r>
      <w:r>
        <w:rPr>
          <w:b/>
        </w:rPr>
        <w:t>July 18, 2028</w:t>
      </w:r>
      <w:r>
        <w:t xml:space="preserve">: a three-year transition after which US exchanges must delist any stablecoin without a permitted issuer </w:t>
      </w:r>
      <w:r>
        <w:rPr>
          <w:vertAlign w:val="superscript"/>
        </w:rPr>
        <w:t>24</w:t>
      </w:r>
      <w:r>
        <w:t xml:space="preserve">. Three years to adapt. Crucially, the Act </w:t>
      </w:r>
      <w:r>
        <w:rPr>
          <w:b/>
        </w:rPr>
        <w:t>left the door open for foreign regulation</w:t>
      </w:r>
      <w:r>
        <w:t xml:space="preserve">. Under </w:t>
      </w:r>
      <w:r>
        <w:rPr>
          <w:b/>
        </w:rPr>
        <w:t>Section 18</w:t>
      </w:r>
      <w:r>
        <w:t xml:space="preserve">, a foreign-regulated stablecoin keeps its US access if Treasury deems its home regime "comparable" and the issuer registers with the OCC and holds US-based reserves </w:t>
      </w:r>
      <w:r>
        <w:rPr>
          <w:vertAlign w:val="superscript"/>
        </w:rPr>
        <w:t>25</w:t>
      </w:r>
      <w:r>
        <w:t>. This turns comparability into a diplomatic instrument, an invitation for other jurisdictions to align with US standards rather than be shut out.</w:t>
      </w:r>
    </w:p>
    <w:p>
      <w:r>
        <w:t xml:space="preserve">Tether is using every lane of that bridge. It is lobbying for the Section 18 route for USDT (now headquartered in El Salvador) while simultaneously launching </w:t>
      </w:r>
      <w:r>
        <w:rPr>
          <w:b/>
        </w:rPr>
        <w:t>USAT</w:t>
      </w:r>
      <w:r>
        <w:t xml:space="preserve"> in January 2026, issued by the federally chartered Anchorage Digital Bank, as its GENIUS-native token </w:t>
      </w:r>
      <w:r>
        <w:rPr>
          <w:vertAlign w:val="superscript"/>
        </w:rPr>
        <w:t>26</w:t>
      </w:r>
      <w:r>
        <w:t>. Same "non-compliant" coin, two regulatory philosophies: Europe got a cleaner rulebook and lost the asset. America got three years of leverage over the asset, and over every foreign regulator who wants access to its market.</w:t>
      </w:r>
    </w:p>
    <w:p>
      <w:pPr>
        <w:pStyle w:val="Heading1"/>
      </w:pPr>
      <w:r>
        <w:t>The trap built into reserve rules</w:t>
      </w:r>
    </w:p>
    <w:p>
      <w:r>
        <w:t xml:space="preserve">Could a euro stablecoin exist under the GENIUS Act? On paper, yes. The Act nowhere says "dollar": a payment stablecoin is defined by its peg to "monetary value," a term broad enough to cover any national currency, and there is no clause forbidding a US-licensed issuer from pegging to the euro </w:t>
      </w:r>
      <w:r>
        <w:rPr>
          <w:vertAlign w:val="superscript"/>
        </w:rPr>
        <w:t>27</w:t>
      </w:r>
      <w:r>
        <w:t xml:space="preserve">. But the trap lies in the reserve rules, because that list is </w:t>
      </w:r>
      <w:r>
        <w:rPr>
          <w:b/>
        </w:rPr>
        <w:t>exhaustive</w:t>
      </w:r>
      <w:r>
        <w:t xml:space="preserve">, and all but one item on it is dollar-locked: US coins and currency, </w:t>
      </w:r>
      <w:r>
        <w:rPr>
          <w:b/>
        </w:rPr>
        <w:t>US Treasuries with maturities of 93 days or less</w:t>
      </w:r>
      <w:r>
        <w:t xml:space="preserve">, repos backed by those same Treasuries, government money market funds holding the same, and central bank reserve deposits </w:t>
      </w:r>
      <w:r>
        <w:rPr>
          <w:vertAlign w:val="superscript"/>
        </w:rPr>
        <w:t>4</w:t>
      </w:r>
      <w:r>
        <w:t xml:space="preserve">. The single currency-flexible bucket is bank deposits — the deposit clause names no currency, so euro deposits at an insured US bank (including its foreign branches) are technically permitted </w:t>
      </w:r>
      <w:r>
        <w:rPr>
          <w:vertAlign w:val="superscript"/>
        </w:rPr>
        <w:t>31</w:t>
      </w:r>
      <w:r>
        <w:t xml:space="preserve">. But that is the entire euro menu. The only interest-bearing </w:t>
      </w:r>
      <w:r>
        <w:rPr>
          <w:i/>
        </w:rPr>
        <w:t>securities</w:t>
      </w:r>
      <w:r>
        <w:t xml:space="preserve"> a GENIUS issuer may hold are </w:t>
      </w:r>
      <w:r>
        <w:rPr>
          <w:b/>
        </w:rPr>
        <w:t>US government debt</w:t>
      </w:r>
      <w:r>
        <w:t>. No German Bubills, no French BTFs, no euro sovereign paper of any kind. There is no "euro T-bill" to ask for anyway, because the ECB does not issue debt; the euro area has no unified short-term safe asset, only fragmented national bills.</w:t>
      </w:r>
    </w:p>
    <w:p>
      <w:r>
        <w:t xml:space="preserve">Why does this architecture kill the euro coin? Because of the rule both laws share: </w:t>
      </w:r>
      <w:r>
        <w:rPr>
          <w:b/>
        </w:rPr>
        <w:t>issuers cannot pay yield to holders</w:t>
      </w:r>
      <w:r>
        <w:t xml:space="preserve"> </w:t>
      </w:r>
      <w:r>
        <w:rPr>
          <w:vertAlign w:val="superscript"/>
        </w:rPr>
        <w:t>28</w:t>
      </w:r>
      <w:r>
        <w:t xml:space="preserve">. Which means the interest earned on reserves is not a nice-to-have. It is the </w:t>
      </w:r>
      <w:r>
        <w:rPr>
          <w:i/>
        </w:rPr>
        <w:t>entire business model</w:t>
      </w:r>
      <w:r>
        <w:t xml:space="preserve">. Tether's ~$10B+ profit in 2025 and Circle's revenue are, at bottom, largely T-bill coupons on other people's money </w:t>
      </w:r>
      <w:r>
        <w:rPr>
          <w:vertAlign w:val="superscript"/>
        </w:rPr>
        <w:t>29</w:t>
      </w:r>
      <w:r>
        <w:t xml:space="preserve">. A euro stablecoin under the GENIUS Act would face an impossible menu: hold dollar T-bills against a euro peg (a currency mismatch that breaks the coin), or cram the entire reserve into euro bank deposits — largely uninsured (FDIC coverage stops at foreign branches), capped under proposed rules at 40% per bank, and, per the FDIC's own database, with only </w:t>
      </w:r>
      <w:r>
        <w:rPr>
          <w:b/>
        </w:rPr>
        <w:t>five of Europe's thirty largest banks</w:t>
      </w:r>
      <w:r>
        <w:t xml:space="preserve"> even owning an eligible US insured bank </w:t>
      </w:r>
      <w:r>
        <w:rPr>
          <w:vertAlign w:val="superscript"/>
        </w:rPr>
        <w:t>31</w:t>
      </w:r>
      <w:r>
        <w:t>. De jure permitted; de facto impossible at scale. The dollar coin gets a yield engine by statute; the euro coin gets a compliance labyrinth with no revenue.</w:t>
      </w:r>
    </w:p>
    <w:p>
      <w:r>
        <w:t xml:space="preserve">Note what this is </w:t>
      </w:r>
      <w:r>
        <w:rPr>
          <w:i/>
        </w:rPr>
        <w:t>not</w:t>
      </w:r>
      <w:r>
        <w:t xml:space="preserve">: it is not a restriction on who or where. MiCA works the same way in mirror image. It does not care where the parent company sits (American, Japanese, anyone can issue, through an EU-licensed entity); what it regulates is </w:t>
      </w:r>
      <w:r>
        <w:rPr>
          <w:b/>
        </w:rPr>
        <w:t>the reserve</w:t>
      </w:r>
      <w:r>
        <w:t xml:space="preserve">. MiCA does let issuers earn on euro-area national bills via the EBA's highly-liquid-assets list, but it forces 30-60% of reserves into low-earning bank deposits, and euro short rates run at roughly half of dollar rates to begin with </w:t>
      </w:r>
      <w:r>
        <w:rPr>
          <w:vertAlign w:val="superscript"/>
        </w:rPr>
        <w:t>30</w:t>
      </w:r>
      <w:r>
        <w:t>. So the reserve rules, on both sides of the Atlantic, are the actual battlefield: US law converts every stablecoin it touches into a buyer of US debt and makes a euro coin under US law economically pointless, while EU law makes the euro coin legally possible but commercially handicapped. Nobody banned anybody's currency. They just wrote the reserve rules so their own debt wins.</w:t>
      </w:r>
    </w:p>
    <w:p>
      <w:pPr>
        <w:pStyle w:val="Heading1"/>
      </w:pPr>
      <w:r>
        <w:t>The uncomfortable conclusion</w:t>
      </w:r>
    </w:p>
    <w:p>
      <w:r>
        <w:t xml:space="preserve">Currencies don't compete on ideology; they compete on </w:t>
      </w:r>
      <w:r>
        <w:rPr>
          <w:b/>
        </w:rPr>
        <w:t>distribution</w:t>
      </w:r>
      <w:r>
        <w:t>. The GENIUS Act turned every wallet on earth into a potential distribution point for the dollar and every stablecoin issuer into a captive buyer of US debt. MiCA, prudent, sophisticated, and defensive, regulates the products of a currency area whose stablecoins barely exist.</w:t>
      </w:r>
    </w:p>
    <w:p>
      <w:r>
        <w:t>The war isn't between regulators and crypto. It's between currencies, fought through regulation. And so far, only one side is playing offense.</w:t>
      </w:r>
    </w:p>
    <w:p>
      <w:r>
        <w:rPr>
          <w:i/>
        </w:rPr>
        <w:t>What do you think: can the digital euro close the gap by 2029, or has the network effect already decided the outcome? I'd love to hear views from both sides of the Atlantic.</w:t>
      </w:r>
    </w:p>
    <w:p>
      <w:pPr>
        <w:pStyle w:val="Heading1"/>
      </w:pPr>
      <w:r>
        <w:t>Footnotes</w:t>
      </w:r>
    </w:p>
    <w:p>
      <w:pPr>
        <w:spacing w:after="120"/>
      </w:pPr>
      <w:r>
        <w:rPr>
          <w:b/>
          <w:sz w:val="18"/>
        </w:rPr>
        <w:t xml:space="preserve">1. </w:t>
      </w:r>
      <w:r>
        <w:rPr>
          <w:sz w:val="18"/>
        </w:rPr>
        <w:t>Market-cap trackers (DefiLlama: ~$315B, USD share ~99%, late June 2026) and Forbes, "Will USD-Backed Stablecoins Always Dominate The Market?" (June 29, 2026); some trackers report 97% — methodology-dependent. Euro segment: ~€450-500M in late 2025, growing toward €700-900M by mid-2026 — still under 0.2% of the market (Forbes, "Euro Stablecoins Are Scaling While The Digital Euro Waits On Brussels," June 4, 2026; EURC Q1 2026 reports).</w:t>
      </w:r>
    </w:p>
    <w:p>
      <w:pPr>
        <w:spacing w:after="120"/>
      </w:pPr>
      <w:r>
        <w:rPr>
          <w:b/>
          <w:sz w:val="18"/>
        </w:rPr>
        <w:t xml:space="preserve">2. </w:t>
      </w:r>
      <w:r>
        <w:rPr>
          <w:sz w:val="18"/>
        </w:rPr>
        <w:t>Tether Q4 2025 attestation (BDO, Dec 31, 2025): ~$122B direct US Treasury holdings, ~$141B total exposure including indirect. Sovereign-holder comparisons come from different quarters: Tether's Q3 2025 attestation claimed 17th place (~$135B, surpassing South Korea); the Germany comparison (~$111B) dates to Q1 2025. "Ahead of Germany, top-twenty holder" holds across all of them. Caveats: self-reported attestation, not a full audit.</w:t>
      </w:r>
    </w:p>
    <w:p>
      <w:pPr>
        <w:spacing w:after="120"/>
      </w:pPr>
      <w:r>
        <w:rPr>
          <w:b/>
          <w:sz w:val="18"/>
        </w:rPr>
        <w:t xml:space="preserve">3. </w:t>
      </w:r>
      <w:r>
        <w:rPr>
          <w:sz w:val="18"/>
        </w:rPr>
        <w:t>Circle Reserve Fund (BlackRock-managed, short-dated Treasuries and Treasury repo): ~$68B as of mid-2026, with ~80% of USDC's ~$78B reserves in Treasury instruments (BlackRock fund page; Circle transparency page). Earlier snapshots (~$48B) circulated in 2025 commentary, e.g. Columbia Economic Review, "Digitalizing Dominance" (2025).</w:t>
      </w:r>
    </w:p>
    <w:p>
      <w:pPr>
        <w:spacing w:after="120"/>
      </w:pPr>
      <w:r>
        <w:rPr>
          <w:b/>
          <w:sz w:val="18"/>
        </w:rPr>
        <w:t xml:space="preserve">4. </w:t>
      </w:r>
      <w:r>
        <w:rPr>
          <w:sz w:val="18"/>
        </w:rPr>
        <w:t xml:space="preserve">GENIUS Act, Pub. L. 119-27, Sec. 4(a)(1)(A) (codified at 12 U.S.C. 5903): permitted reserves limited to US coins and currency; demand deposits at insured depository institutions; US Treasury bills/notes/bonds with remaining maturity ≤93 days; Treasury-backed repurchase/reverse-repurchase agreements; government money market funds invested in the foregoing; central bank reserve deposits; regulator-approved "similarly liquid Federal Government-issued" assets; and tokenized equivalents. Note: only the deposit clause (ii) states no currency — see </w:t>
      </w:r>
      <w:r>
        <w:rPr>
          <w:sz w:val="18"/>
          <w:vertAlign w:val="superscript"/>
        </w:rPr>
        <w:t>31</w:t>
      </w:r>
      <w:r>
        <w:rPr>
          <w:sz w:val="18"/>
        </w:rPr>
        <w:t>. See also Gibson Dunn, "The GENIUS Act: A New Era of Stablecoin Regulation" (July 2025).</w:t>
      </w:r>
    </w:p>
    <w:p>
      <w:pPr>
        <w:spacing w:after="120"/>
      </w:pPr>
      <w:r>
        <w:rPr>
          <w:b/>
          <w:sz w:val="18"/>
        </w:rPr>
        <w:t xml:space="preserve">5. </w:t>
      </w:r>
      <w:r>
        <w:rPr>
          <w:sz w:val="18"/>
        </w:rPr>
        <w:t>US Department of the Treasury, press release sb0197 (July 18, 2025). Fuller verbatim: the Act "will buttress the dollar's status as the global reserve currency, expand access to the dollar economy for billions across the globe, and lead to a surge in demand for US Treasuries, which back stablecoins."</w:t>
      </w:r>
    </w:p>
    <w:p>
      <w:pPr>
        <w:spacing w:after="120"/>
      </w:pPr>
      <w:r>
        <w:rPr>
          <w:b/>
          <w:sz w:val="18"/>
        </w:rPr>
        <w:t xml:space="preserve">6. </w:t>
      </w:r>
      <w:r>
        <w:rPr>
          <w:sz w:val="18"/>
        </w:rPr>
        <w:t>Scott Bessent on X (June 17, 2025), verbatim: "Recent reporting projects that stablecoins could grow into a $3.7 trillion market by the end of the decade" — he amplified analyst projections rather than issuing his own forecast. He separately told a Senate Appropriations subcommittee (June 2025) the market could exceed $2 trillion by 2028, adding "I could see it greatly exceeding that."</w:t>
      </w:r>
    </w:p>
    <w:p>
      <w:pPr>
        <w:spacing w:after="120"/>
      </w:pPr>
      <w:r>
        <w:rPr>
          <w:b/>
          <w:sz w:val="18"/>
        </w:rPr>
        <w:t xml:space="preserve">7. </w:t>
      </w:r>
      <w:r>
        <w:rPr>
          <w:sz w:val="18"/>
        </w:rPr>
        <w:t>Standard Chartered digital-assets research (Geoff Kendrick with John Davies, April 2025): a $2T stablecoin market by end-2028 would require ~$1.6T of additional T-bill purchases, roughly equal to planned net new T-bill issuance over the period. Note: in February 2026 Standard Chartered trimmed the T-bill demand estimate to ~$0.8-1.0T while keeping the $2T market target. See also the Treasury Borrowing Advisory Committee "Digital Money" presentation (April 30, 2025).</w:t>
      </w:r>
    </w:p>
    <w:p>
      <w:pPr>
        <w:spacing w:after="120"/>
      </w:pPr>
      <w:r>
        <w:rPr>
          <w:b/>
          <w:sz w:val="18"/>
        </w:rPr>
        <w:t xml:space="preserve">8. </w:t>
      </w:r>
      <w:r>
        <w:rPr>
          <w:sz w:val="18"/>
        </w:rPr>
        <w:t>Citi GPS, "Digital Dollars" (April 2025): base case $1.6T, bull case $3.7T by 2030; stablecoin issuers could hold ~$1.2T in US government debt by 2030, potentially exceeding every single foreign sovereign holder. The follow-up report "Stablecoins 2030" (September 2025) revised the cases to $1.9T base / $4.0T bull.</w:t>
      </w:r>
    </w:p>
    <w:p>
      <w:pPr>
        <w:spacing w:after="120"/>
      </w:pPr>
      <w:r>
        <w:rPr>
          <w:b/>
          <w:sz w:val="18"/>
        </w:rPr>
        <w:t xml:space="preserve">9. </w:t>
      </w:r>
      <w:r>
        <w:rPr>
          <w:sz w:val="18"/>
        </w:rPr>
        <w:t>Castle Island Ventures / Brevan Howard Digital (with Visa and Artemis, YouGov fieldwork May-June 2024): 2,541 crypto users across Nigeria, India, Indonesia, Turkey, Brazil; 47% cited "access to dollars" as a reason for using stablecoins — the second most-cited use after crypto trading (50%), in a multi-select question. Argentina: Chainalysis Latin America reports (stablecoins &gt;50% of peso exchange purchases; 61.8% of transaction volume vs 44.7% global average).</w:t>
      </w:r>
    </w:p>
    <w:p>
      <w:pPr>
        <w:spacing w:after="120"/>
      </w:pPr>
      <w:r>
        <w:rPr>
          <w:b/>
          <w:sz w:val="18"/>
        </w:rPr>
        <w:t xml:space="preserve">10. </w:t>
      </w:r>
      <w:r>
        <w:rPr>
          <w:sz w:val="18"/>
        </w:rPr>
        <w:t>Regulation (EU) 2023/1114 (MiCA), Art. 23 (ARTs) extended to non-EU-currency EMTs via Art. 58(3); thresholds of 1,000,000 transactions and €200,000,000 per day, quarterly-averaged, for use "as a means of exchange" within a single currency area; recitals 54-55 link the caps to monetary sovereignty. Methodology: EBA RTS/2024/13.</w:t>
      </w:r>
    </w:p>
    <w:p>
      <w:pPr>
        <w:spacing w:after="120"/>
      </w:pPr>
      <w:r>
        <w:rPr>
          <w:b/>
          <w:sz w:val="18"/>
        </w:rPr>
        <w:t xml:space="preserve">11. </w:t>
      </w:r>
      <w:r>
        <w:rPr>
          <w:sz w:val="18"/>
        </w:rPr>
        <w:t>MiCA Art. 54 (30% of EMT funds in EU credit-institution deposits) and ESMA Interactive Single Rulebook, Art. 45 (60% floor per referenced currency for significant tokens); Ardoino's bank-run critique: interviews and statements 2024, compiled by CoinLaw ("Tether USDT MiCA Europe Exit").</w:t>
      </w:r>
    </w:p>
    <w:p>
      <w:pPr>
        <w:spacing w:after="120"/>
      </w:pPr>
      <w:r>
        <w:rPr>
          <w:b/>
          <w:sz w:val="18"/>
        </w:rPr>
        <w:t xml:space="preserve">12. </w:t>
      </w:r>
      <w:r>
        <w:rPr>
          <w:sz w:val="18"/>
        </w:rPr>
        <w:t>ESMA statement ESMA75-223375936-6099 (Jan 17, 2025): acquisition restrictions by end-Jan 2025, sell-only until March 31, 2025. Exchange actions: Coinbase moved first (Dec 2024, ahead of the statement), then Crypto.com (Jan 31, 2025), Kraken (Mar 24-31, 2025), Binance (nine stablecoins incl. USDT, by Mar 31, 2025) — The Block, DL News, exchange announcements.</w:t>
      </w:r>
    </w:p>
    <w:p>
      <w:pPr>
        <w:spacing w:after="120"/>
      </w:pPr>
      <w:r>
        <w:rPr>
          <w:b/>
          <w:sz w:val="18"/>
        </w:rPr>
        <w:t xml:space="preserve">13. </w:t>
      </w:r>
      <w:r>
        <w:rPr>
          <w:sz w:val="18"/>
        </w:rPr>
        <w:t>ECB non-paper on multi-issuance, circulated to the Council, April 2025 (Council doc WK 4742/2025); see also CEPR VoxEU, "Multi-issuer stablecoins: a threat to financial stability" (2025).</w:t>
      </w:r>
    </w:p>
    <w:p>
      <w:pPr>
        <w:spacing w:after="120"/>
      </w:pPr>
      <w:r>
        <w:rPr>
          <w:b/>
          <w:sz w:val="18"/>
        </w:rPr>
        <w:t xml:space="preserve">14. </w:t>
      </w:r>
      <w:r>
        <w:rPr>
          <w:sz w:val="18"/>
        </w:rPr>
        <w:t>"Privatization of money": Lagarde in Fortune (July 2, 2025) — "I regard money as a public good." "Digital dollarisation": CoinDesk, "ECB's Lagarde Warns Tether and Circle Stablecoins Risk Digital Dollarisation in Europe" (May 8, 2026).</w:t>
      </w:r>
    </w:p>
    <w:p>
      <w:pPr>
        <w:spacing w:after="120"/>
      </w:pPr>
      <w:r>
        <w:rPr>
          <w:b/>
          <w:sz w:val="18"/>
        </w:rPr>
        <w:t xml:space="preserve">15. </w:t>
      </w:r>
      <w:r>
        <w:rPr>
          <w:sz w:val="18"/>
        </w:rPr>
        <w:t>Piero Cipollone, introductory statement at the ECON Committee of the European Parliament (April 8, 2025), reprinted as "Empowering Europe: boosting strategic autonomy through the digital euro" (BIS Review r250409f). Verbatim: reliance "could evolve into dependence on other private means of payment such as foreign stablecoins, which excessively undermines resilience and compromises monetary sovereignty." The deposit/fee/data-shift warning paraphrases his April 2025 remarks as reported in press coverage. See also his speech "Stablecoins and monetary sovereignty" (ECB, October 18, 2025).</w:t>
      </w:r>
    </w:p>
    <w:p>
      <w:pPr>
        <w:spacing w:after="120"/>
      </w:pPr>
      <w:r>
        <w:rPr>
          <w:b/>
          <w:sz w:val="18"/>
        </w:rPr>
        <w:t xml:space="preserve">16. </w:t>
      </w:r>
      <w:r>
        <w:rPr>
          <w:sz w:val="18"/>
        </w:rPr>
        <w:t>ECB press release, October 30, 2025 (closing of the digital euro preparation phase; "the ECB aims to be ready for a potential first issuance of the digital euro during 2029") and the preparation-phase closing report (October 2025; pilot targeted mid-2027, contingent on the Digital Euro Regulation being adopted in 2026). European Parliament ECON committee position adopted June 23, 2026, by 43-14 (Euronews: backing the digital euro "to reduce US dominance in payments"; also CoinDesk, Ledger Insights).</w:t>
      </w:r>
    </w:p>
    <w:p>
      <w:pPr>
        <w:spacing w:after="120"/>
      </w:pPr>
      <w:r>
        <w:rPr>
          <w:b/>
          <w:sz w:val="18"/>
        </w:rPr>
        <w:t xml:space="preserve">17. </w:t>
      </w:r>
      <w:r>
        <w:rPr>
          <w:sz w:val="18"/>
        </w:rPr>
        <w:t>ESRB Recommendation of 25 September 2025 (OJ C/2025/6342): clarify that third-country multi-issuer schemes are not permissible, or impose strict safeguards. European Commission targeted MiCA-review consultation launched May 20, 2026 (86 questions, deadline Aug 31, 2026), feeding the Art. 140/142 review report due June 30, 2027.</w:t>
      </w:r>
    </w:p>
    <w:p>
      <w:pPr>
        <w:spacing w:after="120"/>
      </w:pPr>
      <w:r>
        <w:rPr>
          <w:b/>
          <w:sz w:val="18"/>
        </w:rPr>
        <w:t xml:space="preserve">18. </w:t>
      </w:r>
      <w:r>
        <w:rPr>
          <w:sz w:val="18"/>
        </w:rPr>
        <w:t>Forbes, "Euro Stablecoins Are Scaling While The Digital Euro Waits On Brussels" (June 4, 2026).</w:t>
      </w:r>
    </w:p>
    <w:p>
      <w:pPr>
        <w:spacing w:after="120"/>
      </w:pPr>
      <w:r>
        <w:rPr>
          <w:b/>
          <w:sz w:val="18"/>
        </w:rPr>
        <w:t xml:space="preserve">19. </w:t>
      </w:r>
      <w:r>
        <w:rPr>
          <w:sz w:val="18"/>
        </w:rPr>
        <w:t>Federal Reserve Bank of Kansas City, Economic Bulletin: "Stablecoins Could Increase Treasury Demand, but Only by Reducing Demand for Other Assets."</w:t>
      </w:r>
    </w:p>
    <w:p>
      <w:pPr>
        <w:spacing w:after="120"/>
      </w:pPr>
      <w:r>
        <w:rPr>
          <w:b/>
          <w:sz w:val="18"/>
        </w:rPr>
        <w:t xml:space="preserve">20. </w:t>
      </w:r>
      <w:r>
        <w:rPr>
          <w:sz w:val="18"/>
        </w:rPr>
        <w:t>BIS Annual Economic Report 2026 (June 2026): stablecoins fail the singleness, elasticity and integrity tests of money and trade like ETFs rather than at par. See also BIS Working Paper 1146, "On par: a money view of stablecoins."</w:t>
      </w:r>
    </w:p>
    <w:p>
      <w:pPr>
        <w:spacing w:after="120"/>
      </w:pPr>
      <w:r>
        <w:rPr>
          <w:b/>
          <w:sz w:val="18"/>
        </w:rPr>
        <w:t xml:space="preserve">21. </w:t>
      </w:r>
      <w:r>
        <w:rPr>
          <w:sz w:val="18"/>
        </w:rPr>
        <w:t>March 2023 USDC depeg to ~$0.87 following Silicon Valley Bank exposure (~8% of reserves); Federal Reserve FEDS Note (Dec 2025), "In the Shadow of a Bank Run."</w:t>
      </w:r>
    </w:p>
    <w:p>
      <w:pPr>
        <w:spacing w:after="120"/>
      </w:pPr>
      <w:r>
        <w:rPr>
          <w:b/>
          <w:sz w:val="18"/>
        </w:rPr>
        <w:t xml:space="preserve">22. </w:t>
      </w:r>
      <w:r>
        <w:rPr>
          <w:sz w:val="18"/>
        </w:rPr>
        <w:t>EU-venue USDT trading-volume decline of &gt;70% (Q4 2024-Q2 2025) and USDT/EUR order-book depth collapse: ForkLog market analysis, "What MiCA means for USDT and Europe's crypto market" (2025); offshore-migration warnings compiled across market commentary (Phemex Academy, CoinIdol, 2025). Figures are exchange-data estimates, not an official EU statistic.</w:t>
      </w:r>
    </w:p>
    <w:p>
      <w:pPr>
        <w:spacing w:after="120"/>
      </w:pPr>
      <w:r>
        <w:rPr>
          <w:b/>
          <w:sz w:val="18"/>
        </w:rPr>
        <w:t xml:space="preserve">23. </w:t>
      </w:r>
      <w:r>
        <w:rPr>
          <w:sz w:val="18"/>
        </w:rPr>
        <w:t>Oxford Business Law Blog, "Stablecoin Interest at a Crossroads: MiCA's Prohibition and the US Regulatory Maze" (March 2026). Paraphrase of the authors' argument as characterized in secondary coverage; consult the original post for exact wording.</w:t>
      </w:r>
    </w:p>
    <w:p>
      <w:pPr>
        <w:spacing w:after="120"/>
      </w:pPr>
      <w:r>
        <w:rPr>
          <w:b/>
          <w:sz w:val="18"/>
        </w:rPr>
        <w:t xml:space="preserve">24. </w:t>
      </w:r>
      <w:r>
        <w:rPr>
          <w:sz w:val="18"/>
        </w:rPr>
        <w:t>GENIUS Act Sec. 3: issuance restricted to permitted issuers from the effective date (Jan 18, 2027, absent earlier final rules); from July 18, 2028 (three years post-enactment), digital asset service providers may not offer or sell non-permitted payment stablecoins to US persons.</w:t>
      </w:r>
    </w:p>
    <w:p>
      <w:pPr>
        <w:spacing w:after="120"/>
      </w:pPr>
      <w:r>
        <w:rPr>
          <w:b/>
          <w:sz w:val="18"/>
        </w:rPr>
        <w:t xml:space="preserve">25. </w:t>
      </w:r>
      <w:r>
        <w:rPr>
          <w:sz w:val="18"/>
        </w:rPr>
        <w:t>GENIUS Act Sec. 18 (codified at 12 U.S.C. 5916): Treasury comparability determination for the foreign regime, OCC registration, US-held reserves sufficient for US customer demand, and reciprocal-arrangement authority. Treasury's implementing rule was still pending as of mid-2026.</w:t>
      </w:r>
    </w:p>
    <w:p>
      <w:pPr>
        <w:spacing w:after="120"/>
      </w:pPr>
      <w:r>
        <w:rPr>
          <w:b/>
          <w:sz w:val="18"/>
        </w:rPr>
        <w:t xml:space="preserve">26. </w:t>
      </w:r>
      <w:r>
        <w:rPr>
          <w:sz w:val="18"/>
        </w:rPr>
        <w:t>USAT launch (Jan 27, 2026), issued via federally chartered Anchorage Digital Bank: Cointelegraph, Decrypt, Yahoo Finance; strategic reading: Forbes, "Tether's USAT Exists So USDT Never Has To Comply" (May 27, 2026). El Salvador HQ: Tether corporate announcements (Jan 2025).</w:t>
      </w:r>
    </w:p>
    <w:p>
      <w:pPr>
        <w:spacing w:after="120"/>
      </w:pPr>
      <w:r>
        <w:rPr>
          <w:b/>
          <w:sz w:val="18"/>
        </w:rPr>
        <w:t xml:space="preserve">27. </w:t>
      </w:r>
      <w:r>
        <w:rPr>
          <w:sz w:val="18"/>
        </w:rPr>
        <w:t>GENIUS Act Sec. 2 definitions: "payment stablecoin" is defined by redemption for a fixed amount of "monetary value" (Sec. 2(17)), and "national currency" expressly includes "money issued by a foreign central bank" (Sec. 2(19)(C)) — so a euro (ECB) peg fits the definition; the exclusion list (national currencies, deposits, securities) does not bar foreign pegs.</w:t>
      </w:r>
    </w:p>
    <w:p>
      <w:pPr>
        <w:spacing w:after="120"/>
      </w:pPr>
      <w:r>
        <w:rPr>
          <w:b/>
          <w:sz w:val="18"/>
        </w:rPr>
        <w:t xml:space="preserve">28. </w:t>
      </w:r>
      <w:r>
        <w:rPr>
          <w:sz w:val="18"/>
        </w:rPr>
        <w:t>GENIUS Act Sec. 4(a)(11) (no interest or yield to holders "solely in connection with the holding, use, or retention" of the stablecoin); MiCA Arts. 40 and 50 (prohibition of interest on ARTs and EMTs, including compensation economically equivalent to interest).</w:t>
      </w:r>
    </w:p>
    <w:p>
      <w:pPr>
        <w:spacing w:after="120"/>
      </w:pPr>
      <w:r>
        <w:rPr>
          <w:b/>
          <w:sz w:val="18"/>
        </w:rPr>
        <w:t xml:space="preserve">29. </w:t>
      </w:r>
      <w:r>
        <w:rPr>
          <w:sz w:val="18"/>
        </w:rPr>
        <w:t>Tether reported &gt;$10B net profit for 2025 (Q4 attestation) — driven mainly by reserve yields, though 2025 results also include gold (~$17B held) and bitcoin gains. Circle: 99% of 2024 revenue ($1.66B of $1.68B) was reserve interest income (Circle S-1).</w:t>
      </w:r>
    </w:p>
    <w:p>
      <w:pPr>
        <w:spacing w:after="120"/>
      </w:pPr>
      <w:r>
        <w:rPr>
          <w:b/>
          <w:sz w:val="18"/>
        </w:rPr>
        <w:t xml:space="preserve">30. </w:t>
      </w:r>
      <w:r>
        <w:rPr>
          <w:sz w:val="18"/>
        </w:rPr>
        <w:t xml:space="preserve">EBA RTS on highly liquid financial instruments (mapping to LCR Level 1 assets, which include EU member-state government bills); deposit floors per </w:t>
      </w:r>
      <w:r>
        <w:rPr>
          <w:sz w:val="18"/>
          <w:vertAlign w:val="superscript"/>
        </w:rPr>
        <w:t>11</w:t>
      </w:r>
      <w:r>
        <w:rPr>
          <w:sz w:val="18"/>
        </w:rPr>
        <w:t>. Rate differential: ECB deposit facility ~2% vs. US federal funds ~4% across 2025-26 (central bank policy rates).</w:t>
      </w:r>
    </w:p>
    <w:p>
      <w:pPr>
        <w:spacing w:after="120"/>
      </w:pPr>
      <w:r>
        <w:rPr>
          <w:b/>
          <w:sz w:val="18"/>
        </w:rPr>
        <w:t xml:space="preserve">31. </w:t>
      </w:r>
      <w:r>
        <w:rPr>
          <w:sz w:val="18"/>
        </w:rPr>
        <w:t>GENIUS Act Sec. 4(a)(1)(A)(ii) (12 U.S.C. 5903): the bank-deposit clause specifies no currency — the reserve list's only non-USD bucket. Practical constraints: obligations payable solely at foreign branches are generally not insured deposits (FDI Act); the FDIC's proposed rule caps any single institution at 40% of reserves (§350.4(f)) and the OCC proposal adds an insured-deposit floor and a USD operational backstop (§§15.11(d), 15.41(b)(2)). FDIC BankFind check (index July 3, 2026): only 5 of Europe's 30 largest banking groups — HSBC, Santander, Barclays, UBS, Deutsche Bank — have an active FDIC-insured US depository institution, several of them trust or card banks.</w:t>
      </w:r>
    </w:p>
    <w:p>
      <w:pPr>
        <w:spacing w:after="120"/>
      </w:pPr>
      <w:r>
        <w:rPr>
          <w:b/>
          <w:sz w:val="18"/>
        </w:rPr>
        <w:t xml:space="preserve">32. </w:t>
      </w:r>
      <w:r>
        <w:rPr>
          <w:sz w:val="18"/>
        </w:rPr>
        <w:t>CLARITY Act, H.R. 3633 (119th Cong.), Title VI, "Anti-CBDC Surveillance State Act" — engrossed House text, passed July 17, 2025, pending in the Senate as of mid-2026: prohibits Federal Reserve banks from offering certain products or services directly to individuals and bars use of a central bank digital currency for monetary policy.</w:t>
      </w:r>
    </w:p>
    <w:p>
      <w:pPr>
        <w:spacing w:after="120"/>
      </w:pPr>
      <w:r>
        <w:rPr>
          <w:b/>
          <w:sz w:val="18"/>
        </w:rPr>
        <w:t xml:space="preserve">33. </w:t>
      </w:r>
      <w:r>
        <w:rPr>
          <w:sz w:val="18"/>
        </w:rPr>
        <w:t>Revolut staged USDT delisting for EU users: purchases blocked July 6, 2026; deposits disabled July 30, 2026; full delisting August 31, 2026, with residual balances auto-converted to the user's base currency at market rate — Yahoo Finance, BeInCrypto, The Paypers (July 4-5, 2026). Timing follows the expiry of MiCA's Art. 143(3) CASP grandfathering window (July 1, 2026). August 31 is Revolut's own schedule, not an EU-wide statutory date.</w:t>
      </w:r>
    </w:p>
    <w:p>
      <w:r>
        <w:rPr>
          <w:b/>
        </w:rPr>
        <w:t>Note on verification:</w:t>
      </w:r>
      <w:r>
        <w:t xml:space="preserve"> quotes and figures were verified against the sources above at the level available to the author's research tooling; statutory citations reference the enacted texts (Pub. L. 119-27; Regulation (EU) 2023/1114). Readers should consult the primary documents linked in the underlying research notes for verbatim language.</w:t>
      </w:r>
    </w:p>
    <w:p>
      <w:r>
        <w:rPr>
          <w:color w:val="0A66C2"/>
        </w:rPr>
        <w:t>#Stablecoins #MiCA #GENIUSAct #DigitalEuro #Crypto #Regulation #DollarDominance #CBDC #Fintech #MonetaryPolicy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