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60"/>
        <w:jc w:val="center"/>
      </w:pPr>
      <w:r>
        <w:rPr>
          <w:rFonts w:ascii="Sylfaen" w:hAnsi="Sylfaen" w:cs="Sylfaen" w:eastAsia="Sylfaen"/>
          <w:b/>
          <w:i w:val="0"/>
          <w:color w:val="000000"/>
          <w:sz w:val="28"/>
        </w:rPr>
        <w:t>ფორმები და საჯარო დოკუმენტაცია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ინსტიტუტის ოფიციალურ ვებგვერდზე (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gipc.org.ge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) განმცხადებლების, კანდიდატების, სერტიფიცირებული პირებისა და ნებისმიერი დაინტერესებული მხარისთვის თავისუფლად (რეგისტრაციის გარეშე) ხელმისაწვდომია შემდეგი საჯარო დოკუმენტები, ფორმები და ხელშეკრულებების სტანდარტული ნიმუშები: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1.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„სერტიფიცირების სქემა: არქიტექტორთა სერტიფიცირება“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სერტიფიცირების სფეროები, კატეგორიები (A, B, C), საკვალიფიკაციო წინაპირობები, გარდამავალი დებულება და შეფასების კრიტერიუმები;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2.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„მიუკერძოებლობის პოლიტიკა“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ხელმძღვანელობის საჯარო განცხადება და მიუკერძოებლობის უზრუნველყოფის პრინციპები;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3.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„კონფიდენციალურობის პოლიტიკა“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კონფიდენციალური ინფორმაციისა და პერსონალურ მონაცემთა დაცვის წესი;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4.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„საჩივრებისა და აპელაციების პროცედურა“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და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საჩივრის / აპელაციის წარდგენის ფორმა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5.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„სერტიფიცირების განაცხადი“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სერტიფიცირების ერთიანი განაცხადის ფორმა;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6.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„საგამოცდო და სასერტიფიკაციო ხელშეკრულება“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ერთიანი სტანდარტული ნიმუში (მოიცავს როგორც საგამოცდო მომსახურების პირობებს, ისე სერტიფიცირებული პირის უფლება-მოვალეობებს სამივე კატეგორიისთვის — A, B, C და №134 დადგენილების მე-12 მუხლით გათვალისწინებული გარდამავალი/საგამონაკლისო რეჟიმის ორმაგი ვადის დათქმას).</w:t>
      </w:r>
    </w:p>
    <w:sectPr>
      <w:pgSz w:w="11906" w:h="16838"/>
      <w:pgMar w:top="1134" w:right="1020" w:bottom="1134" w:left="1247" w:header="720" w:footer="720" w:gutter="0"/>
    </w:sectPr>
  </w:body>
</w:document>
</file>