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keepNext/>
        <w:spacing w:before="0" w:after="60"/>
        <w:jc w:val="center"/>
      </w:pPr>
      <w:r>
        <w:rPr>
          <w:rFonts w:ascii="Sylfaen" w:hAnsi="Sylfaen" w:cs="Sylfaen" w:eastAsia="Sylfaen"/>
          <w:b/>
          <w:i w:val="0"/>
          <w:color w:val="000000"/>
          <w:sz w:val="28"/>
        </w:rPr>
        <w:t>საჩივარი და აპელაცია</w:t>
      </w:r>
    </w:p>
    <w:p>
      <w:pPr>
        <w:spacing w:before="0" w:after="60" w:line="276" w:lineRule="auto"/>
        <w:jc w:val="both"/>
      </w:pPr>
      <w:r>
        <w:rPr>
          <w:rFonts w:ascii="Sylfaen" w:hAnsi="Sylfaen" w:cs="Sylfaen" w:eastAsia="Sylfaen"/>
          <w:b w:val="0"/>
          <w:i w:val="0"/>
          <w:color w:val="000000"/>
          <w:sz w:val="21"/>
        </w:rPr>
        <w:t>ინსტიტუტში მოქმედებს საჩივრებისა და აპელაციების განხილვის გამჭვირვალე და მიუკერძოებელი მექანიზმი. საჩივრის ან აპელაციის წარდგენა არ იწვევს განმცხადებლის მიმართ რაიმე დისკრიმინაციულ ან საპასუხო ზომას.</w:t>
      </w:r>
    </w:p>
    <w:p>
      <w:pPr>
        <w:keepNext/>
        <w:spacing w:before="240" w:after="80"/>
        <w:jc w:val="left"/>
        <w:pBdr>
          <w:bottom w:val="single" w:sz="4" w:space="2" w:color="000000"/>
        </w:pBdr>
      </w:pPr>
      <w:r>
        <w:rPr>
          <w:rFonts w:ascii="Sylfaen" w:hAnsi="Sylfaen" w:cs="Sylfaen" w:eastAsia="Sylfaen"/>
          <w:b/>
          <w:i w:val="0"/>
          <w:color w:val="000000"/>
          <w:sz w:val="24"/>
        </w:rPr>
        <w:t>1. საჩივარი</w:t>
      </w:r>
    </w:p>
    <w:p>
      <w:pPr>
        <w:spacing w:before="0" w:after="60" w:line="276" w:lineRule="auto"/>
        <w:jc w:val="both"/>
      </w:pPr>
      <w:r>
        <w:rPr>
          <w:rFonts w:ascii="Sylfaen" w:hAnsi="Sylfaen" w:cs="Sylfaen" w:eastAsia="Sylfaen"/>
          <w:b/>
          <w:i w:val="0"/>
          <w:color w:val="000000"/>
          <w:sz w:val="21"/>
        </w:rPr>
        <w:t>საჩივარი</w:t>
      </w:r>
      <w:r>
        <w:rPr>
          <w:rFonts w:ascii="Sylfaen" w:hAnsi="Sylfaen" w:cs="Sylfaen" w:eastAsia="Sylfaen"/>
          <w:b w:val="0"/>
          <w:i w:val="0"/>
          <w:color w:val="000000"/>
          <w:sz w:val="21"/>
        </w:rPr>
        <w:t xml:space="preserve"> არის ნებისმიერი პირის ან ორგანიზაციის მიერ ინსტიტუტის მიმართ გამოხატული წერილობითი უკმაყოფილება (აპელაციის გარდა), რომელიც ეხება ინსტიტუტის მომსახურების ხარისხს, პროცედურების დაცვას, პერსონალის ქცევას, ტექნიკურ ხარვეზს ან ინსტიტუტის მიერ სერტიფიცირებული პირის პროფესიულ საქმიანობას.</w:t>
      </w:r>
    </w:p>
    <w:p>
      <w:pPr>
        <w:spacing w:before="0" w:after="60" w:line="276" w:lineRule="auto"/>
        <w:jc w:val="both"/>
      </w:pPr>
      <w:r>
        <w:rPr>
          <w:rFonts w:ascii="Sylfaen" w:hAnsi="Sylfaen" w:cs="Sylfaen" w:eastAsia="Sylfaen"/>
          <w:b/>
          <w:i w:val="0"/>
          <w:color w:val="000000"/>
          <w:sz w:val="21"/>
        </w:rPr>
        <w:t>საჩივრის წარდგენისა და განხილვის წესი:</w:t>
      </w:r>
    </w:p>
    <w:p>
      <w:pPr>
        <w:spacing w:before="0" w:after="60" w:line="276" w:lineRule="auto"/>
        <w:jc w:val="both"/>
      </w:pPr>
      <w:r>
        <w:rPr>
          <w:rFonts w:ascii="Sylfaen" w:hAnsi="Sylfaen" w:cs="Sylfaen" w:eastAsia="Sylfaen"/>
          <w:b w:val="0"/>
          <w:i w:val="0"/>
          <w:color w:val="000000"/>
          <w:sz w:val="21"/>
        </w:rPr>
        <w:t>1. საჩივარი წარედგინება ვებგვერდზე განთავსებული ელექტრონული ფორმით ან ელ. ფოსტით (</w:t>
      </w:r>
      <w:r>
        <w:rPr>
          <w:rFonts w:ascii="Sylfaen" w:hAnsi="Sylfaen" w:cs="Sylfaen" w:eastAsia="Sylfaen"/>
          <w:b/>
          <w:i w:val="0"/>
          <w:color w:val="000000"/>
          <w:sz w:val="21"/>
        </w:rPr>
        <w:t>info@gipc.ge</w:t>
      </w:r>
      <w:r>
        <w:rPr>
          <w:rFonts w:ascii="Sylfaen" w:hAnsi="Sylfaen" w:cs="Sylfaen" w:eastAsia="Sylfaen"/>
          <w:b w:val="0"/>
          <w:i w:val="0"/>
          <w:color w:val="000000"/>
          <w:sz w:val="21"/>
        </w:rPr>
        <w:t>). საჩივარში მიეთითება განმცხადებლის ვინაობა, საკონტაქტო მონაცემები, საჩივრის არსი, ფაქტობრივი გარემოებები და არსებული მტკიცებულებები;</w:t>
      </w:r>
    </w:p>
    <w:p>
      <w:pPr>
        <w:spacing w:before="0" w:after="60" w:line="276" w:lineRule="auto"/>
        <w:jc w:val="both"/>
      </w:pPr>
      <w:r>
        <w:rPr>
          <w:rFonts w:ascii="Sylfaen" w:hAnsi="Sylfaen" w:cs="Sylfaen" w:eastAsia="Sylfaen"/>
          <w:b w:val="0"/>
          <w:i w:val="0"/>
          <w:color w:val="000000"/>
          <w:sz w:val="21"/>
        </w:rPr>
        <w:t xml:space="preserve">2. განმცხადებელს ეგზავნება განაცხადის მიღების დადასტურება (ავტომატურად ან არაუგვიანეს </w:t>
      </w:r>
      <w:r>
        <w:rPr>
          <w:rFonts w:ascii="Sylfaen" w:hAnsi="Sylfaen" w:cs="Sylfaen" w:eastAsia="Sylfaen"/>
          <w:b/>
          <w:i w:val="0"/>
          <w:color w:val="000000"/>
          <w:sz w:val="21"/>
        </w:rPr>
        <w:t>5 სამუშაო დღისა</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3. საჩივარს იკვლევს და განიხილავს გასაჩივრებულ მოქმედებასთან დაუკავშირებელი უფლებამოსილი პირი (ხოლო სერტიფიცირებული პირის პროფესიულ დარღვევაზე, როდესაც საკითხი მოითხოვს სპეციალურ არქიტექტურულ შეფასებას — აგრეთვე დამოუკიდებელი მოწვეული დარგობრივი ექსპერტ(ებ)ი / ექსპერტთა საბჭო);</w:t>
      </w:r>
    </w:p>
    <w:p>
      <w:pPr>
        <w:spacing w:before="0" w:after="60" w:line="276" w:lineRule="auto"/>
        <w:jc w:val="both"/>
      </w:pPr>
      <w:r>
        <w:rPr>
          <w:rFonts w:ascii="Sylfaen" w:hAnsi="Sylfaen" w:cs="Sylfaen" w:eastAsia="Sylfaen"/>
          <w:b w:val="0"/>
          <w:i w:val="0"/>
          <w:color w:val="000000"/>
          <w:sz w:val="21"/>
        </w:rPr>
        <w:t xml:space="preserve">4. საჩივრის განხილვა სრულდება </w:t>
      </w:r>
      <w:r>
        <w:rPr>
          <w:rFonts w:ascii="Sylfaen" w:hAnsi="Sylfaen" w:cs="Sylfaen" w:eastAsia="Sylfaen"/>
          <w:b/>
          <w:i w:val="0"/>
          <w:color w:val="000000"/>
          <w:sz w:val="21"/>
        </w:rPr>
        <w:t>20 სამუშაო დღის</w:t>
      </w:r>
      <w:r>
        <w:rPr>
          <w:rFonts w:ascii="Sylfaen" w:hAnsi="Sylfaen" w:cs="Sylfaen" w:eastAsia="Sylfaen"/>
          <w:b w:val="0"/>
          <w:i w:val="0"/>
          <w:color w:val="000000"/>
          <w:sz w:val="21"/>
        </w:rPr>
        <w:t xml:space="preserve"> ვადაში (კომპლექსურ შემთხვევაში ვადა შეიძლება გაგრძელდეს არაუმეტეს </w:t>
      </w:r>
      <w:r>
        <w:rPr>
          <w:rFonts w:ascii="Sylfaen" w:hAnsi="Sylfaen" w:cs="Sylfaen" w:eastAsia="Sylfaen"/>
          <w:b/>
          <w:i w:val="0"/>
          <w:color w:val="000000"/>
          <w:sz w:val="21"/>
        </w:rPr>
        <w:t>40 სამუშაო დღემდე</w:t>
      </w:r>
      <w:r>
        <w:rPr>
          <w:rFonts w:ascii="Sylfaen" w:hAnsi="Sylfaen" w:cs="Sylfaen" w:eastAsia="Sylfaen"/>
          <w:b w:val="0"/>
          <w:i w:val="0"/>
          <w:color w:val="000000"/>
          <w:sz w:val="21"/>
        </w:rPr>
        <w:t>, რის შესახებაც განმცხადებელს წინასწარ ეცნობება);</w:t>
      </w:r>
    </w:p>
    <w:p>
      <w:pPr>
        <w:spacing w:before="0" w:after="60" w:line="276" w:lineRule="auto"/>
        <w:jc w:val="both"/>
      </w:pPr>
      <w:r>
        <w:rPr>
          <w:rFonts w:ascii="Sylfaen" w:hAnsi="Sylfaen" w:cs="Sylfaen" w:eastAsia="Sylfaen"/>
          <w:b w:val="0"/>
          <w:i w:val="0"/>
          <w:color w:val="000000"/>
          <w:sz w:val="21"/>
        </w:rPr>
        <w:t xml:space="preserve">5. გადაწყვეტილების მიღებიდან არაუგვიანეს </w:t>
      </w:r>
      <w:r>
        <w:rPr>
          <w:rFonts w:ascii="Sylfaen" w:hAnsi="Sylfaen" w:cs="Sylfaen" w:eastAsia="Sylfaen"/>
          <w:b/>
          <w:i w:val="0"/>
          <w:color w:val="000000"/>
          <w:sz w:val="21"/>
        </w:rPr>
        <w:t>5 სამუშაო დღისა</w:t>
      </w:r>
      <w:r>
        <w:rPr>
          <w:rFonts w:ascii="Sylfaen" w:hAnsi="Sylfaen" w:cs="Sylfaen" w:eastAsia="Sylfaen"/>
          <w:b w:val="0"/>
          <w:i w:val="0"/>
          <w:color w:val="000000"/>
          <w:sz w:val="21"/>
        </w:rPr>
        <w:t xml:space="preserve"> (განხილვის საერთო ვადის ფარგლებში) განმცხადებელს ეგზავნება წერილობითი შეტყობინება მიღებული გადაწყვეტილებისა და გატარებული ღონისძიებების შესახებ.</w:t>
      </w:r>
    </w:p>
    <w:p>
      <w:pPr>
        <w:keepNext/>
        <w:spacing w:before="240" w:after="80"/>
        <w:jc w:val="left"/>
        <w:pBdr>
          <w:bottom w:val="single" w:sz="4" w:space="2" w:color="000000"/>
        </w:pBdr>
      </w:pPr>
      <w:r>
        <w:rPr>
          <w:rFonts w:ascii="Sylfaen" w:hAnsi="Sylfaen" w:cs="Sylfaen" w:eastAsia="Sylfaen"/>
          <w:b/>
          <w:i w:val="0"/>
          <w:color w:val="000000"/>
          <w:sz w:val="24"/>
        </w:rPr>
        <w:t>2. აპელაცია</w:t>
      </w:r>
    </w:p>
    <w:p>
      <w:pPr>
        <w:spacing w:before="0" w:after="60" w:line="276" w:lineRule="auto"/>
        <w:jc w:val="both"/>
      </w:pPr>
      <w:r>
        <w:rPr>
          <w:rFonts w:ascii="Sylfaen" w:hAnsi="Sylfaen" w:cs="Sylfaen" w:eastAsia="Sylfaen"/>
          <w:b/>
          <w:i w:val="0"/>
          <w:color w:val="000000"/>
          <w:sz w:val="21"/>
        </w:rPr>
        <w:t>აპელაცია</w:t>
      </w:r>
      <w:r>
        <w:rPr>
          <w:rFonts w:ascii="Sylfaen" w:hAnsi="Sylfaen" w:cs="Sylfaen" w:eastAsia="Sylfaen"/>
          <w:b w:val="0"/>
          <w:i w:val="0"/>
          <w:color w:val="000000"/>
          <w:sz w:val="21"/>
        </w:rPr>
        <w:t xml:space="preserve"> არის განმცხადებლის, კანდიდატის ან სერტიფიცირებული პირის მოთხოვნა მის სერტიფიცირებასთან დაკავშირებული გადაწყვეტილების გადასინჯვის შესახებ. აპელაციის წარდგენას წინასწარი საჩივრის შეტანა არ სჭირდება.</w:t>
      </w:r>
    </w:p>
    <w:p>
      <w:pPr>
        <w:spacing w:before="0" w:after="60" w:line="276" w:lineRule="auto"/>
        <w:jc w:val="both"/>
      </w:pPr>
      <w:r>
        <w:rPr>
          <w:rFonts w:ascii="Sylfaen" w:hAnsi="Sylfaen" w:cs="Sylfaen" w:eastAsia="Sylfaen"/>
          <w:b/>
          <w:i w:val="0"/>
          <w:color w:val="000000"/>
          <w:sz w:val="21"/>
        </w:rPr>
        <w:t>აპელაცია შეიძლება წარედგინოს შემდეგ გადაწყვეტილებებზე:</w:t>
      </w:r>
    </w:p>
    <w:p>
      <w:pPr>
        <w:spacing w:before="0" w:after="60" w:line="276" w:lineRule="auto"/>
        <w:jc w:val="both"/>
      </w:pPr>
      <w:r>
        <w:rPr>
          <w:rFonts w:ascii="Sylfaen" w:hAnsi="Sylfaen" w:cs="Sylfaen" w:eastAsia="Sylfaen"/>
          <w:b w:val="0"/>
          <w:i w:val="0"/>
          <w:color w:val="000000"/>
          <w:sz w:val="21"/>
        </w:rPr>
        <w:t>1. სერტიფიცირების განაცხადის უარყოფა;</w:t>
      </w:r>
    </w:p>
    <w:p>
      <w:pPr>
        <w:spacing w:before="0" w:after="60" w:line="276" w:lineRule="auto"/>
        <w:jc w:val="both"/>
      </w:pPr>
      <w:r>
        <w:rPr>
          <w:rFonts w:ascii="Sylfaen" w:hAnsi="Sylfaen" w:cs="Sylfaen" w:eastAsia="Sylfaen"/>
          <w:b w:val="0"/>
          <w:i w:val="0"/>
          <w:color w:val="000000"/>
          <w:sz w:val="21"/>
        </w:rPr>
        <w:t>2. სასერტიფიკაციო გამოცდის შედეგი;</w:t>
      </w:r>
    </w:p>
    <w:p>
      <w:pPr>
        <w:spacing w:before="0" w:after="60" w:line="276" w:lineRule="auto"/>
        <w:jc w:val="both"/>
      </w:pPr>
      <w:r>
        <w:rPr>
          <w:rFonts w:ascii="Sylfaen" w:hAnsi="Sylfaen" w:cs="Sylfaen" w:eastAsia="Sylfaen"/>
          <w:b w:val="0"/>
          <w:i w:val="0"/>
          <w:color w:val="000000"/>
          <w:sz w:val="21"/>
        </w:rPr>
        <w:t>3. გამოცდიდან მოხსნა;</w:t>
      </w:r>
    </w:p>
    <w:p>
      <w:pPr>
        <w:spacing w:before="0" w:after="60" w:line="276" w:lineRule="auto"/>
        <w:jc w:val="both"/>
      </w:pPr>
      <w:r>
        <w:rPr>
          <w:rFonts w:ascii="Sylfaen" w:hAnsi="Sylfaen" w:cs="Sylfaen" w:eastAsia="Sylfaen"/>
          <w:b w:val="0"/>
          <w:i w:val="0"/>
          <w:color w:val="000000"/>
          <w:sz w:val="21"/>
        </w:rPr>
        <w:t>4. სერტიფიცირებაზე უარი;</w:t>
      </w:r>
    </w:p>
    <w:p>
      <w:pPr>
        <w:spacing w:before="0" w:after="60" w:line="276" w:lineRule="auto"/>
        <w:jc w:val="both"/>
      </w:pPr>
      <w:r>
        <w:rPr>
          <w:rFonts w:ascii="Sylfaen" w:hAnsi="Sylfaen" w:cs="Sylfaen" w:eastAsia="Sylfaen"/>
          <w:b w:val="0"/>
          <w:i w:val="0"/>
          <w:color w:val="000000"/>
          <w:sz w:val="21"/>
        </w:rPr>
        <w:t>5. სერტიფიკატის შეჩერება ან გაუქმება.</w:t>
      </w:r>
    </w:p>
    <w:p>
      <w:pPr>
        <w:spacing w:before="0" w:after="60" w:line="276" w:lineRule="auto"/>
        <w:jc w:val="both"/>
      </w:pPr>
      <w:r>
        <w:rPr>
          <w:rFonts w:ascii="Sylfaen" w:hAnsi="Sylfaen" w:cs="Sylfaen" w:eastAsia="Sylfaen"/>
          <w:b/>
          <w:i w:val="0"/>
          <w:color w:val="000000"/>
          <w:sz w:val="21"/>
        </w:rPr>
        <w:t>აპელაციის წარდგენისა და განხილვის წესი:</w:t>
      </w:r>
    </w:p>
    <w:p>
      <w:pPr>
        <w:spacing w:before="0" w:after="60" w:line="276" w:lineRule="auto"/>
        <w:jc w:val="both"/>
      </w:pPr>
      <w:r>
        <w:rPr>
          <w:rFonts w:ascii="Sylfaen" w:hAnsi="Sylfaen" w:cs="Sylfaen" w:eastAsia="Sylfaen"/>
          <w:b w:val="0"/>
          <w:i w:val="0"/>
          <w:color w:val="000000"/>
          <w:sz w:val="21"/>
        </w:rPr>
        <w:t xml:space="preserve">1. აპელაცია წარედგინება გასაჩივრებული გადაწყვეტილების ოფიციალური შეტყობინებიდან </w:t>
      </w:r>
      <w:r>
        <w:rPr>
          <w:rFonts w:ascii="Sylfaen" w:hAnsi="Sylfaen" w:cs="Sylfaen" w:eastAsia="Sylfaen"/>
          <w:b/>
          <w:i w:val="0"/>
          <w:color w:val="000000"/>
          <w:sz w:val="21"/>
        </w:rPr>
        <w:t>20 სამუშაო დღის</w:t>
      </w:r>
      <w:r>
        <w:rPr>
          <w:rFonts w:ascii="Sylfaen" w:hAnsi="Sylfaen" w:cs="Sylfaen" w:eastAsia="Sylfaen"/>
          <w:b w:val="0"/>
          <w:i w:val="0"/>
          <w:color w:val="000000"/>
          <w:sz w:val="21"/>
        </w:rPr>
        <w:t xml:space="preserve"> ვადაში, ვებგვერდის ელექტრონული ფორმით ან ელ. ფოსტით (</w:t>
      </w:r>
      <w:r>
        <w:rPr>
          <w:rFonts w:ascii="Sylfaen" w:hAnsi="Sylfaen" w:cs="Sylfaen" w:eastAsia="Sylfaen"/>
          <w:b/>
          <w:i w:val="0"/>
          <w:color w:val="000000"/>
          <w:sz w:val="21"/>
        </w:rPr>
        <w:t>info@gipc.ge</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 xml:space="preserve">2. აპელანტს ეგზავნება განაცხადის მიღების დადასტურება (ავტომატურად ან არაუგვიანეს </w:t>
      </w:r>
      <w:r>
        <w:rPr>
          <w:rFonts w:ascii="Sylfaen" w:hAnsi="Sylfaen" w:cs="Sylfaen" w:eastAsia="Sylfaen"/>
          <w:b/>
          <w:i w:val="0"/>
          <w:color w:val="000000"/>
          <w:sz w:val="21"/>
        </w:rPr>
        <w:t>5 სამუშაო დღის</w:t>
      </w:r>
      <w:r>
        <w:rPr>
          <w:rFonts w:ascii="Sylfaen" w:hAnsi="Sylfaen" w:cs="Sylfaen" w:eastAsia="Sylfaen"/>
          <w:b w:val="0"/>
          <w:i w:val="0"/>
          <w:color w:val="000000"/>
          <w:sz w:val="21"/>
        </w:rPr>
        <w:t xml:space="preserve"> ვადაში);</w:t>
      </w:r>
    </w:p>
    <w:p>
      <w:pPr>
        <w:spacing w:before="0" w:after="60" w:line="276" w:lineRule="auto"/>
        <w:jc w:val="both"/>
      </w:pPr>
      <w:r>
        <w:rPr>
          <w:rFonts w:ascii="Sylfaen" w:hAnsi="Sylfaen" w:cs="Sylfaen" w:eastAsia="Sylfaen"/>
          <w:b w:val="0"/>
          <w:i w:val="0"/>
          <w:color w:val="000000"/>
          <w:sz w:val="21"/>
        </w:rPr>
        <w:t xml:space="preserve">3. აპელაციას განიხილავს და საბოლოო გადაწყვეტილებას იღებს დამოუკიდებელი მოწვეული დარგობრივი ექსპერტ(ებ)ი / </w:t>
      </w:r>
      <w:r>
        <w:rPr>
          <w:rFonts w:ascii="Sylfaen" w:hAnsi="Sylfaen" w:cs="Sylfaen" w:eastAsia="Sylfaen"/>
          <w:b/>
          <w:i w:val="0"/>
          <w:color w:val="000000"/>
          <w:sz w:val="21"/>
        </w:rPr>
        <w:t>სააპელაციო კომისია</w:t>
      </w:r>
      <w:r>
        <w:rPr>
          <w:rFonts w:ascii="Sylfaen" w:hAnsi="Sylfaen" w:cs="Sylfaen" w:eastAsia="Sylfaen"/>
          <w:b w:val="0"/>
          <w:i w:val="0"/>
          <w:color w:val="000000"/>
          <w:sz w:val="21"/>
        </w:rPr>
        <w:t>, რომლის შემადგენლობაშიც არ დაიშვებიან პირები, რომლებიც მონაწილეობდნენ გასაჩივრებული გამოცდის შეფასებაში ან პირველადი გადაწყვეტილების მიღებაში;</w:t>
      </w:r>
    </w:p>
    <w:p>
      <w:pPr>
        <w:spacing w:before="0" w:after="60" w:line="276" w:lineRule="auto"/>
        <w:jc w:val="both"/>
      </w:pPr>
      <w:r>
        <w:rPr>
          <w:rFonts w:ascii="Sylfaen" w:hAnsi="Sylfaen" w:cs="Sylfaen" w:eastAsia="Sylfaen"/>
          <w:b w:val="0"/>
          <w:i w:val="0"/>
          <w:color w:val="000000"/>
          <w:sz w:val="21"/>
        </w:rPr>
        <w:t xml:space="preserve">4. აპელაციის განხილვა და საბოლოო დასაბუთებული გადაწყვეტილების აპელანტისთვის გაგზავნა სრულდება აპელაციის მიღებიდან არაუმეტეს </w:t>
      </w:r>
      <w:r>
        <w:rPr>
          <w:rFonts w:ascii="Sylfaen" w:hAnsi="Sylfaen" w:cs="Sylfaen" w:eastAsia="Sylfaen"/>
          <w:b/>
          <w:i w:val="0"/>
          <w:color w:val="000000"/>
          <w:sz w:val="21"/>
        </w:rPr>
        <w:t>20 სამუშაო დღის</w:t>
      </w:r>
      <w:r>
        <w:rPr>
          <w:rFonts w:ascii="Sylfaen" w:hAnsi="Sylfaen" w:cs="Sylfaen" w:eastAsia="Sylfaen"/>
          <w:b w:val="0"/>
          <w:i w:val="0"/>
          <w:color w:val="000000"/>
          <w:sz w:val="21"/>
        </w:rPr>
        <w:t xml:space="preserve"> ვადაში (კომპლექსურ საქმეზე ვადა შეიძლება გაგრძელდეს არაუმეტეს </w:t>
      </w:r>
      <w:r>
        <w:rPr>
          <w:rFonts w:ascii="Sylfaen" w:hAnsi="Sylfaen" w:cs="Sylfaen" w:eastAsia="Sylfaen"/>
          <w:b/>
          <w:i w:val="0"/>
          <w:color w:val="000000"/>
          <w:sz w:val="21"/>
        </w:rPr>
        <w:t>40 სამუშაო დღემდე</w:t>
      </w:r>
      <w:r>
        <w:rPr>
          <w:rFonts w:ascii="Sylfaen" w:hAnsi="Sylfaen" w:cs="Sylfaen" w:eastAsia="Sylfaen"/>
          <w:b w:val="0"/>
          <w:i w:val="0"/>
          <w:color w:val="000000"/>
          <w:sz w:val="21"/>
        </w:rPr>
        <w:t xml:space="preserve">, რის შესახებაც აპელანტს წინასწარ ეცნობება; გადაწყვეტილება აპელანტს ეგზავნება მიღებიდან არაუგვიანეს </w:t>
      </w:r>
      <w:r>
        <w:rPr>
          <w:rFonts w:ascii="Sylfaen" w:hAnsi="Sylfaen" w:cs="Sylfaen" w:eastAsia="Sylfaen"/>
          <w:b/>
          <w:i w:val="0"/>
          <w:color w:val="000000"/>
          <w:sz w:val="21"/>
        </w:rPr>
        <w:t>5 სამუშაო დღისა</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5. დამოუკიდებელი განმხილველი / სააპელაციო კომისია უფლებამოსილია დააკმაყოფილოს აპელაცია (შეცვალოს ან გააუქმოს პირველადი გადაწყვეტილება) ან უარყოს იგი და ძალაში დატოვოს პირველადი გადაწყვეტილება.</w:t>
      </w:r>
    </w:p>
    <w:p>
      <w:pPr>
        <w:spacing w:before="0" w:after="60" w:line="276" w:lineRule="auto"/>
        <w:jc w:val="both"/>
      </w:pPr>
      <w:r>
        <w:rPr>
          <w:rFonts w:ascii="Sylfaen" w:hAnsi="Sylfaen" w:cs="Sylfaen" w:eastAsia="Sylfaen"/>
          <w:b w:val="0"/>
          <w:i w:val="0"/>
          <w:color w:val="000000"/>
          <w:sz w:val="21"/>
        </w:rPr>
        <w:t>ინსტიტუტის ფარგლებში მიღებული საბოლოო გადაწყვეტილება არ ზღუდავს პირის უფლებას, კანონმდებლობით დადგენილი წესით მიმართოს სასამართლოს ან სსიპ „აკრედიტაციის ერთიან ეროვნულ ორგანოს — აკრედიტაციის ცენტრს“ (GAC).</w:t>
      </w:r>
    </w:p>
    <w:p>
      <w:pPr>
        <w:spacing w:before="0" w:after="60" w:line="276" w:lineRule="auto"/>
        <w:jc w:val="both"/>
      </w:pPr>
      <w:r>
        <w:rPr>
          <w:rFonts w:ascii="Sylfaen" w:hAnsi="Sylfaen" w:cs="Sylfaen" w:eastAsia="Sylfaen"/>
          <w:b w:val="0"/>
          <w:i/>
          <w:color w:val="000000"/>
          <w:sz w:val="21"/>
        </w:rPr>
        <w:t>შენიშვნა: თუ შემოსული მიმართვა ერთდროულად შეიცავს როგორც მომსახურების/პროცესის მიმართ პრეტენზიას (საჩივარს), ისე სერტიფიცირების გადაწყვეტილების გადასინჯვის მოთხოვნას (აპელაციას), ინსტიტუტი მას აფასებს შინაარსობრივად და თითოეულ ნაწილს განიხილავს შესაბამისი პროცედურით, მიუხედავად იმისა, თუ რა სათაურით დაარეგისტრირა იგი განმცხადებელმა.</w:t>
      </w:r>
    </w:p>
    <w:sectPr>
      <w:pgSz w:w="11906" w:h="16838"/>
      <w:pgMar w:top="1134" w:right="1020" w:bottom="1134" w:left="1247" w:header="720" w:footer="720" w:gutter="0"/>
    </w:sectPr>
  </w:body>
</w:document>
</file>