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გამოცდა</w:t>
      </w:r>
    </w:p>
    <w:p>
      <w:pPr>
        <w:keepNext/>
        <w:spacing w:before="0" w:after="160"/>
        <w:jc w:val="center"/>
      </w:pPr>
      <w:r>
        <w:rPr>
          <w:rFonts w:ascii="Sylfaen" w:hAnsi="Sylfaen" w:cs="Sylfaen" w:eastAsia="Sylfaen"/>
          <w:b/>
          <w:i w:val="0"/>
          <w:color w:val="000000"/>
          <w:sz w:val="23"/>
        </w:rPr>
        <w:t>1. გამოცდის სტრუქტურა</w:t>
      </w:r>
    </w:p>
    <w:p>
      <w:pPr>
        <w:spacing w:before="0" w:after="60" w:line="276" w:lineRule="auto"/>
        <w:jc w:val="both"/>
      </w:pPr>
      <w:r>
        <w:rPr>
          <w:rFonts w:ascii="Sylfaen" w:hAnsi="Sylfaen" w:cs="Sylfaen" w:eastAsia="Sylfaen"/>
          <w:b w:val="0"/>
          <w:i w:val="0"/>
          <w:color w:val="000000"/>
          <w:sz w:val="21"/>
        </w:rPr>
        <w:t xml:space="preserve">სასერტიფიკაციო გამოცდა ტარდება ელექტრონულად, ინსტიტუტის საგამოცდო ცენტრში და შედგება </w:t>
      </w:r>
      <w:r>
        <w:rPr>
          <w:rFonts w:ascii="Sylfaen" w:hAnsi="Sylfaen" w:cs="Sylfaen" w:eastAsia="Sylfaen"/>
          <w:b/>
          <w:i w:val="0"/>
          <w:color w:val="000000"/>
          <w:sz w:val="21"/>
        </w:rPr>
        <w:t>სამი ეტაპისგან</w:t>
      </w:r>
      <w:r>
        <w:rPr>
          <w:rFonts w:ascii="Sylfaen" w:hAnsi="Sylfaen" w:cs="Sylfaen" w:eastAsia="Sylfaen"/>
          <w:b w:val="0"/>
          <w:i w:val="0"/>
          <w:color w:val="000000"/>
          <w:sz w:val="21"/>
        </w:rPr>
        <w:t xml:space="preserve"> (საერთო სუფთა საგამოცდო დრო — </w:t>
      </w:r>
      <w:r>
        <w:rPr>
          <w:rFonts w:ascii="Sylfaen" w:hAnsi="Sylfaen" w:cs="Sylfaen" w:eastAsia="Sylfaen"/>
          <w:b/>
          <w:i w:val="0"/>
          <w:color w:val="000000"/>
          <w:sz w:val="21"/>
        </w:rPr>
        <w:t>3 საათი</w:t>
      </w:r>
      <w:r>
        <w:rPr>
          <w:rFonts w:ascii="Sylfaen" w:hAnsi="Sylfaen" w:cs="Sylfaen" w:eastAsia="Sylfaen"/>
          <w:b w:val="0"/>
          <w:i w:val="0"/>
          <w:color w:val="000000"/>
          <w:sz w:val="21"/>
        </w:rPr>
        <w:t>):</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342"/>
        <w:gridCol w:w="2438"/>
        <w:gridCol w:w="2438"/>
        <w:gridCol w:w="2421"/>
      </w:tblGrid>
      <w:tr>
        <w:trPr>
          <w:cantSplit/>
          <w:tblHeader/>
        </w:trPr>
        <w:tc>
          <w:tcPr>
            <w:tcW w:type="dxa" w:w="2342"/>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2438"/>
            <w:vAlign w:val="center"/>
          </w:tcPr>
          <w:p>
            <w:pPr>
              <w:spacing w:before="20" w:after="20" w:line="264" w:lineRule="auto"/>
              <w:jc w:val="left"/>
            </w:pPr>
            <w:r>
              <w:rPr>
                <w:rFonts w:ascii="Sylfaen" w:hAnsi="Sylfaen" w:cs="Sylfaen" w:eastAsia="Sylfaen"/>
                <w:b/>
                <w:i w:val="0"/>
                <w:color w:val="000000"/>
                <w:sz w:val="20"/>
              </w:rPr>
              <w:t>საგამოცდო ეტაპი / შესვენება</w:t>
            </w:r>
          </w:p>
        </w:tc>
        <w:tc>
          <w:tcPr>
            <w:tcW w:type="dxa" w:w="2438"/>
            <w:vAlign w:val="center"/>
          </w:tcPr>
          <w:p>
            <w:pPr>
              <w:spacing w:before="20" w:after="20" w:line="264" w:lineRule="auto"/>
              <w:jc w:val="left"/>
            </w:pPr>
            <w:r>
              <w:rPr>
                <w:rFonts w:ascii="Sylfaen" w:hAnsi="Sylfaen" w:cs="Sylfaen" w:eastAsia="Sylfaen"/>
                <w:b/>
                <w:i w:val="0"/>
                <w:color w:val="000000"/>
                <w:sz w:val="20"/>
              </w:rPr>
              <w:t>ხანგრძლივობა</w:t>
            </w:r>
          </w:p>
        </w:tc>
        <w:tc>
          <w:tcPr>
            <w:tcW w:type="dxa" w:w="2421"/>
            <w:vAlign w:val="center"/>
          </w:tcPr>
          <w:p>
            <w:pPr>
              <w:spacing w:before="20" w:after="20" w:line="264" w:lineRule="auto"/>
              <w:jc w:val="left"/>
            </w:pPr>
            <w:r>
              <w:rPr>
                <w:rFonts w:ascii="Sylfaen" w:hAnsi="Sylfaen" w:cs="Sylfaen" w:eastAsia="Sylfaen"/>
                <w:b/>
                <w:i w:val="0"/>
                <w:color w:val="000000"/>
                <w:sz w:val="20"/>
              </w:rPr>
              <w:t>ფორმატი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ეტაპი I</w:t>
            </w:r>
          </w:p>
        </w:tc>
        <w:tc>
          <w:tcPr>
            <w:tcW w:type="dxa" w:w="2438"/>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38"/>
            <w:vAlign w:val="center"/>
          </w:tcPr>
          <w:p>
            <w:pPr>
              <w:spacing w:before="20" w:after="20" w:line="264" w:lineRule="auto"/>
              <w:jc w:val="left"/>
            </w:pPr>
            <w:r>
              <w:rPr>
                <w:rFonts w:ascii="Sylfaen" w:hAnsi="Sylfaen" w:cs="Sylfaen" w:eastAsia="Sylfaen"/>
                <w:b/>
                <w:i w:val="0"/>
                <w:color w:val="000000"/>
                <w:sz w:val="20"/>
              </w:rPr>
              <w:t>2 საათი</w:t>
            </w:r>
          </w:p>
        </w:tc>
        <w:tc>
          <w:tcPr>
            <w:tcW w:type="dxa" w:w="2421"/>
            <w:vAlign w:val="center"/>
          </w:tcPr>
          <w:p>
            <w:pPr>
              <w:spacing w:before="20" w:after="20" w:line="264" w:lineRule="auto"/>
              <w:jc w:val="left"/>
            </w:pPr>
            <w:r>
              <w:rPr>
                <w:rFonts w:ascii="Sylfaen" w:hAnsi="Sylfaen" w:cs="Sylfaen" w:eastAsia="Sylfaen"/>
                <w:b w:val="0"/>
                <w:i w:val="0"/>
                <w:color w:val="000000"/>
                <w:sz w:val="20"/>
              </w:rPr>
              <w:t>მინიმუმ 100 დახურული კითხვა (4 სავარაუდო პასუხით)</w:t>
            </w:r>
          </w:p>
        </w:tc>
      </w:tr>
      <w:tr>
        <w:trPr>
          <w:cantSplit/>
        </w:trPr>
        <w:tc>
          <w:tcPr>
            <w:tcW w:type="dxa" w:w="2342"/>
            <w:vAlign w:val="center"/>
          </w:tcPr>
          <w:p>
            <w:pPr>
              <w:spacing w:before="20" w:after="20" w:line="264" w:lineRule="auto"/>
              <w:jc w:val="left"/>
            </w:pPr>
            <w:r>
              <w:rPr>
                <w:rFonts w:ascii="Sylfaen" w:hAnsi="Sylfaen" w:cs="Sylfaen" w:eastAsia="Sylfaen"/>
                <w:b w:val="0"/>
                <w:i/>
                <w:color w:val="000000"/>
                <w:sz w:val="20"/>
              </w:rPr>
              <w:t>შესვენება 1</w:t>
            </w:r>
          </w:p>
        </w:tc>
        <w:tc>
          <w:tcPr>
            <w:tcW w:type="dxa" w:w="2438"/>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38"/>
            <w:vAlign w:val="center"/>
          </w:tcPr>
          <w:p>
            <w:pPr>
              <w:spacing w:before="20" w:after="20" w:line="264" w:lineRule="auto"/>
              <w:jc w:val="left"/>
            </w:pPr>
            <w:r>
              <w:rPr>
                <w:rFonts w:ascii="Sylfaen" w:hAnsi="Sylfaen" w:cs="Sylfaen" w:eastAsia="Sylfaen"/>
                <w:b w:val="0"/>
                <w:i/>
                <w:color w:val="000000"/>
                <w:sz w:val="20"/>
              </w:rPr>
              <w:t>30 წუთი</w:t>
            </w:r>
          </w:p>
        </w:tc>
        <w:tc>
          <w:tcPr>
            <w:tcW w:type="dxa" w:w="2421"/>
            <w:vAlign w:val="center"/>
          </w:tcPr>
          <w:p>
            <w:pPr>
              <w:spacing w:before="20" w:after="20" w:line="264" w:lineRule="auto"/>
              <w:jc w:val="left"/>
            </w:pPr>
            <w:r>
              <w:rPr>
                <w:rFonts w:ascii="Sylfaen" w:hAnsi="Sylfaen" w:cs="Sylfaen" w:eastAsia="Sylfaen"/>
                <w:b w:val="0"/>
                <w:i/>
                <w:color w:val="000000"/>
                <w:sz w:val="20"/>
              </w:rPr>
              <w:t>სუფთა საგამოცდო დროში არ ითვლება</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2438"/>
            <w:vAlign w:val="center"/>
          </w:tcPr>
          <w:p>
            <w:pPr>
              <w:spacing w:before="20" w:after="20" w:line="264" w:lineRule="auto"/>
              <w:jc w:val="left"/>
            </w:pPr>
            <w:r>
              <w:rPr>
                <w:rFonts w:ascii="Sylfaen" w:hAnsi="Sylfaen" w:cs="Sylfaen" w:eastAsia="Sylfaen"/>
                <w:b w:val="0"/>
                <w:i w:val="0"/>
                <w:color w:val="000000"/>
                <w:sz w:val="20"/>
              </w:rPr>
              <w:t>პრაქტიკული დავალება — მრავალბინიანი, მრავალსართულიანი საცხოვრებელი სახლის არქიტექტურული პროექტის შეფასება</w:t>
            </w:r>
          </w:p>
        </w:tc>
        <w:tc>
          <w:tcPr>
            <w:tcW w:type="dxa" w:w="2438"/>
            <w:vAlign w:val="center"/>
          </w:tcPr>
          <w:p>
            <w:pPr>
              <w:spacing w:before="20" w:after="20" w:line="264" w:lineRule="auto"/>
              <w:jc w:val="left"/>
            </w:pPr>
            <w:r>
              <w:rPr>
                <w:rFonts w:ascii="Sylfaen" w:hAnsi="Sylfaen" w:cs="Sylfaen" w:eastAsia="Sylfaen"/>
                <w:b/>
                <w:i w:val="0"/>
                <w:color w:val="000000"/>
                <w:sz w:val="20"/>
              </w:rPr>
              <w:t>30 წუთი</w:t>
            </w:r>
          </w:p>
        </w:tc>
        <w:tc>
          <w:tcPr>
            <w:tcW w:type="dxa" w:w="2421"/>
            <w:vAlign w:val="center"/>
          </w:tcPr>
          <w:p>
            <w:pPr>
              <w:spacing w:before="20" w:after="20" w:line="264" w:lineRule="auto"/>
              <w:jc w:val="left"/>
            </w:pPr>
            <w:r>
              <w:rPr>
                <w:rFonts w:ascii="Sylfaen" w:hAnsi="Sylfaen" w:cs="Sylfaen" w:eastAsia="Sylfaen"/>
                <w:b w:val="0"/>
                <w:i w:val="0"/>
                <w:color w:val="000000"/>
                <w:sz w:val="20"/>
              </w:rPr>
              <w:t>არქიტექტურული პროექტის ანალიზი და ხარვეზების იდენტიფიცირება</w:t>
            </w:r>
          </w:p>
        </w:tc>
      </w:tr>
      <w:tr>
        <w:trPr>
          <w:cantSplit/>
        </w:trPr>
        <w:tc>
          <w:tcPr>
            <w:tcW w:type="dxa" w:w="2342"/>
            <w:vAlign w:val="center"/>
          </w:tcPr>
          <w:p>
            <w:pPr>
              <w:spacing w:before="20" w:after="20" w:line="264" w:lineRule="auto"/>
              <w:jc w:val="left"/>
            </w:pPr>
            <w:r>
              <w:rPr>
                <w:rFonts w:ascii="Sylfaen" w:hAnsi="Sylfaen" w:cs="Sylfaen" w:eastAsia="Sylfaen"/>
                <w:b w:val="0"/>
                <w:i/>
                <w:color w:val="000000"/>
                <w:sz w:val="20"/>
              </w:rPr>
              <w:t>შესვენება 2</w:t>
            </w:r>
          </w:p>
        </w:tc>
        <w:tc>
          <w:tcPr>
            <w:tcW w:type="dxa" w:w="2438"/>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38"/>
            <w:vAlign w:val="center"/>
          </w:tcPr>
          <w:p>
            <w:pPr>
              <w:spacing w:before="20" w:after="20" w:line="264" w:lineRule="auto"/>
              <w:jc w:val="left"/>
            </w:pPr>
            <w:r>
              <w:rPr>
                <w:rFonts w:ascii="Sylfaen" w:hAnsi="Sylfaen" w:cs="Sylfaen" w:eastAsia="Sylfaen"/>
                <w:b w:val="0"/>
                <w:i/>
                <w:color w:val="000000"/>
                <w:sz w:val="20"/>
              </w:rPr>
              <w:t>15 წუთი</w:t>
            </w:r>
          </w:p>
        </w:tc>
        <w:tc>
          <w:tcPr>
            <w:tcW w:type="dxa" w:w="2421"/>
            <w:vAlign w:val="center"/>
          </w:tcPr>
          <w:p>
            <w:pPr>
              <w:spacing w:before="20" w:after="20" w:line="264" w:lineRule="auto"/>
              <w:jc w:val="left"/>
            </w:pPr>
            <w:r>
              <w:rPr>
                <w:rFonts w:ascii="Sylfaen" w:hAnsi="Sylfaen" w:cs="Sylfaen" w:eastAsia="Sylfaen"/>
                <w:b w:val="0"/>
                <w:i/>
                <w:color w:val="000000"/>
                <w:sz w:val="20"/>
              </w:rPr>
              <w:t>სუფთა საგამოცდო დროში არ ითვლება</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2438"/>
            <w:vAlign w:val="center"/>
          </w:tcPr>
          <w:p>
            <w:pPr>
              <w:spacing w:before="20" w:after="20" w:line="264" w:lineRule="auto"/>
              <w:jc w:val="left"/>
            </w:pPr>
            <w:r>
              <w:rPr>
                <w:rFonts w:ascii="Sylfaen" w:hAnsi="Sylfaen" w:cs="Sylfaen" w:eastAsia="Sylfaen"/>
                <w:b w:val="0"/>
                <w:i w:val="0"/>
                <w:color w:val="000000"/>
                <w:sz w:val="20"/>
              </w:rPr>
              <w:t>პრაქტიკული დავალება — საჯარო ან საზოგადოებრივი დანიშნულების შენობის არქიტექტურული პროექტის შეფასება</w:t>
            </w:r>
          </w:p>
        </w:tc>
        <w:tc>
          <w:tcPr>
            <w:tcW w:type="dxa" w:w="2438"/>
            <w:vAlign w:val="center"/>
          </w:tcPr>
          <w:p>
            <w:pPr>
              <w:spacing w:before="20" w:after="20" w:line="264" w:lineRule="auto"/>
              <w:jc w:val="left"/>
            </w:pPr>
            <w:r>
              <w:rPr>
                <w:rFonts w:ascii="Sylfaen" w:hAnsi="Sylfaen" w:cs="Sylfaen" w:eastAsia="Sylfaen"/>
                <w:b/>
                <w:i w:val="0"/>
                <w:color w:val="000000"/>
                <w:sz w:val="20"/>
              </w:rPr>
              <w:t>30 წუთი</w:t>
            </w:r>
          </w:p>
        </w:tc>
        <w:tc>
          <w:tcPr>
            <w:tcW w:type="dxa" w:w="2421"/>
            <w:vAlign w:val="center"/>
          </w:tcPr>
          <w:p>
            <w:pPr>
              <w:spacing w:before="20" w:after="20" w:line="264" w:lineRule="auto"/>
              <w:jc w:val="left"/>
            </w:pPr>
            <w:r>
              <w:rPr>
                <w:rFonts w:ascii="Sylfaen" w:hAnsi="Sylfaen" w:cs="Sylfaen" w:eastAsia="Sylfaen"/>
                <w:b w:val="0"/>
                <w:i w:val="0"/>
                <w:color w:val="000000"/>
                <w:sz w:val="20"/>
              </w:rPr>
              <w:t>არქიტექტურული პროექტის ანალიზი და ხარვეზების იდენტიფიცირება</w:t>
            </w:r>
          </w:p>
        </w:tc>
      </w:tr>
    </w:tbl>
    <w:p>
      <w:pPr>
        <w:keepNext/>
        <w:spacing w:before="240" w:after="80"/>
        <w:jc w:val="left"/>
        <w:pBdr>
          <w:bottom w:val="single" w:sz="4" w:space="2" w:color="000000"/>
        </w:pBdr>
      </w:pPr>
      <w:r>
        <w:rPr>
          <w:rFonts w:ascii="Sylfaen" w:hAnsi="Sylfaen" w:cs="Sylfaen" w:eastAsia="Sylfaen"/>
          <w:b/>
          <w:i w:val="0"/>
          <w:color w:val="000000"/>
          <w:sz w:val="24"/>
        </w:rPr>
        <w:t>2. თეორიული ტესტირება (ეტაპი I)</w:t>
      </w:r>
    </w:p>
    <w:p>
      <w:pPr>
        <w:spacing w:before="0" w:after="60" w:line="276" w:lineRule="auto"/>
        <w:jc w:val="both"/>
      </w:pPr>
      <w:r>
        <w:rPr>
          <w:rFonts w:ascii="Sylfaen" w:hAnsi="Sylfaen" w:cs="Sylfaen" w:eastAsia="Sylfaen"/>
          <w:b w:val="0"/>
          <w:i w:val="0"/>
          <w:color w:val="000000"/>
          <w:sz w:val="21"/>
        </w:rPr>
        <w:t xml:space="preserve">თეორიული ტესტირება ტარდება კომპიუტერულ ფორმატში და მოიცავს სულ მცირე </w:t>
      </w:r>
      <w:r>
        <w:rPr>
          <w:rFonts w:ascii="Sylfaen" w:hAnsi="Sylfaen" w:cs="Sylfaen" w:eastAsia="Sylfaen"/>
          <w:b/>
          <w:i w:val="0"/>
          <w:color w:val="000000"/>
          <w:sz w:val="21"/>
        </w:rPr>
        <w:t>100 დახურულ კითხვას</w:t>
      </w:r>
      <w:r>
        <w:rPr>
          <w:rFonts w:ascii="Sylfaen" w:hAnsi="Sylfaen" w:cs="Sylfaen" w:eastAsia="Sylfaen"/>
          <w:b w:val="0"/>
          <w:i w:val="0"/>
          <w:color w:val="000000"/>
          <w:sz w:val="21"/>
        </w:rPr>
        <w:t>, რომლებიც საქართველოს მთავრობის №134 დადგენილების დანართი №1-ის შესაბამისად ნაწილდება 4 თემატურ ბლოკად:</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სანებართვო კანონმდებლობა</w:t>
      </w:r>
      <w:r>
        <w:rPr>
          <w:rFonts w:ascii="Sylfaen" w:hAnsi="Sylfaen" w:cs="Sylfaen" w:eastAsia="Sylfaen"/>
          <w:b w:val="0"/>
          <w:i w:val="0"/>
          <w:color w:val="000000"/>
          <w:sz w:val="21"/>
        </w:rPr>
        <w:t xml:space="preserve"> — მინიმუმ </w:t>
      </w:r>
      <w:r>
        <w:rPr>
          <w:rFonts w:ascii="Sylfaen" w:hAnsi="Sylfaen" w:cs="Sylfaen" w:eastAsia="Sylfaen"/>
          <w:b/>
          <w:i w:val="0"/>
          <w:color w:val="000000"/>
          <w:sz w:val="21"/>
        </w:rPr>
        <w:t>20 კითხვა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სამშენებლო ტექნოლოგიები</w:t>
      </w:r>
      <w:r>
        <w:rPr>
          <w:rFonts w:ascii="Sylfaen" w:hAnsi="Sylfaen" w:cs="Sylfaen" w:eastAsia="Sylfaen"/>
          <w:b w:val="0"/>
          <w:i w:val="0"/>
          <w:color w:val="000000"/>
          <w:sz w:val="21"/>
        </w:rPr>
        <w:t xml:space="preserve"> — მინიმუმ </w:t>
      </w:r>
      <w:r>
        <w:rPr>
          <w:rFonts w:ascii="Sylfaen" w:hAnsi="Sylfaen" w:cs="Sylfaen" w:eastAsia="Sylfaen"/>
          <w:b/>
          <w:i w:val="0"/>
          <w:color w:val="000000"/>
          <w:sz w:val="21"/>
        </w:rPr>
        <w:t>11 კითხვა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პროფესიული პრაქტიკა</w:t>
      </w:r>
      <w:r>
        <w:rPr>
          <w:rFonts w:ascii="Sylfaen" w:hAnsi="Sylfaen" w:cs="Sylfaen" w:eastAsia="Sylfaen"/>
          <w:b w:val="0"/>
          <w:i w:val="0"/>
          <w:color w:val="000000"/>
          <w:sz w:val="21"/>
        </w:rPr>
        <w:t xml:space="preserve"> — მინიმუმ </w:t>
      </w:r>
      <w:r>
        <w:rPr>
          <w:rFonts w:ascii="Sylfaen" w:hAnsi="Sylfaen" w:cs="Sylfaen" w:eastAsia="Sylfaen"/>
          <w:b/>
          <w:i w:val="0"/>
          <w:color w:val="000000"/>
          <w:sz w:val="21"/>
        </w:rPr>
        <w:t>4 კითხვა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პროექტირება (უსაფრთხოების წესები და მისაწვდომობის სტანდარტები)</w:t>
      </w:r>
      <w:r>
        <w:rPr>
          <w:rFonts w:ascii="Sylfaen" w:hAnsi="Sylfaen" w:cs="Sylfaen" w:eastAsia="Sylfaen"/>
          <w:b w:val="0"/>
          <w:i w:val="0"/>
          <w:color w:val="000000"/>
          <w:sz w:val="21"/>
        </w:rPr>
        <w:t xml:space="preserve"> — მინიმუმ </w:t>
      </w:r>
      <w:r>
        <w:rPr>
          <w:rFonts w:ascii="Sylfaen" w:hAnsi="Sylfaen" w:cs="Sylfaen" w:eastAsia="Sylfaen"/>
          <w:b/>
          <w:i w:val="0"/>
          <w:color w:val="000000"/>
          <w:sz w:val="21"/>
        </w:rPr>
        <w:t>65 კითხვა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i w:val="0"/>
          <w:color w:val="000000"/>
          <w:sz w:val="21"/>
        </w:rPr>
        <w:t>ტესტირების პრინციპები:</w:t>
      </w:r>
    </w:p>
    <w:p>
      <w:pPr>
        <w:spacing w:before="0" w:after="60" w:line="276" w:lineRule="auto"/>
        <w:jc w:val="both"/>
      </w:pPr>
      <w:r>
        <w:rPr>
          <w:rFonts w:ascii="Sylfaen" w:hAnsi="Sylfaen" w:cs="Sylfaen" w:eastAsia="Sylfaen"/>
          <w:b w:val="0"/>
          <w:i w:val="0"/>
          <w:color w:val="000000"/>
          <w:sz w:val="21"/>
        </w:rPr>
        <w:t>ა) თითოეულ კითხვას ახლავს 4 სავარაუდო პასუხი, რომელთაგან სწორია ერთი (ან კითხვის პირობით პირდაპირ მითითებული რაოდენობის) პასუხი; ყველა ზომა და პარამეტრი მოცემულია ერთეულთა საერთაშორისო სისტემაში (</w:t>
      </w:r>
      <w:r>
        <w:rPr>
          <w:rFonts w:ascii="Sylfaen" w:hAnsi="Sylfaen" w:cs="Sylfaen" w:eastAsia="Sylfaen"/>
          <w:b/>
          <w:i w:val="0"/>
          <w:color w:val="000000"/>
          <w:sz w:val="21"/>
        </w:rPr>
        <w:t>SI</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ბ) კითხვები საგამოცდო სისტემაში გენერირდება შემთხვევითობის პრინციპით, თემატური თავებისა და ქვეთავების მიხედვით;</w:t>
      </w:r>
    </w:p>
    <w:p>
      <w:pPr>
        <w:spacing w:before="0" w:after="60" w:line="276" w:lineRule="auto"/>
        <w:jc w:val="both"/>
      </w:pPr>
      <w:r>
        <w:rPr>
          <w:rFonts w:ascii="Sylfaen" w:hAnsi="Sylfaen" w:cs="Sylfaen" w:eastAsia="Sylfaen"/>
          <w:b w:val="0"/>
          <w:i w:val="0"/>
          <w:color w:val="000000"/>
          <w:sz w:val="21"/>
        </w:rPr>
        <w:t>გ) შეფასება ხორციელდება ავტომატიზებულად, საგამოცდო სისტემაში წინასწარ განსაზღვრული სწორი პასუხების მიხედვით.</w:t>
      </w:r>
    </w:p>
    <w:p>
      <w:pPr>
        <w:spacing w:before="0" w:after="60" w:line="276" w:lineRule="auto"/>
        <w:jc w:val="both"/>
      </w:pPr>
      <w:r>
        <w:rPr>
          <w:rFonts w:ascii="Sylfaen" w:hAnsi="Sylfaen" w:cs="Sylfaen" w:eastAsia="Sylfaen"/>
          <w:b w:val="0"/>
          <w:i w:val="0"/>
          <w:color w:val="000000"/>
          <w:sz w:val="21"/>
        </w:rPr>
        <w:t xml:space="preserve">თეორიული ტესტირება ჩაბარებულად ითვლება მხოლოდ იმ შემთხვევაში, თუ კანდიდატი დადგენილ გამსვლელ ბარიერს გადალახავს ტესტში შემავალ </w:t>
      </w:r>
      <w:r>
        <w:rPr>
          <w:rFonts w:ascii="Sylfaen" w:hAnsi="Sylfaen" w:cs="Sylfaen" w:eastAsia="Sylfaen"/>
          <w:b/>
          <w:i w:val="0"/>
          <w:color w:val="000000"/>
          <w:sz w:val="21"/>
        </w:rPr>
        <w:t>თითოეულ თავში/ქვეთავში დამოუკიდებლად</w:t>
      </w:r>
      <w:r>
        <w:rPr>
          <w:rFonts w:ascii="Sylfaen" w:hAnsi="Sylfaen" w:cs="Sylfaen" w:eastAsia="Sylfaen"/>
          <w:b w:val="0"/>
          <w:i w:val="0"/>
          <w:color w:val="000000"/>
          <w:sz w:val="21"/>
        </w:rPr>
        <w:t>. საერთო ჯამური მაღალი ქულა ვერ აბათილებს რომელიმე ცალკეულ თავში/ქვეთავში ბარიერზე დაბალ შედეგს.</w:t>
      </w:r>
    </w:p>
    <w:p>
      <w:pPr>
        <w:keepNext/>
        <w:spacing w:before="240" w:after="80"/>
        <w:jc w:val="left"/>
        <w:pBdr>
          <w:bottom w:val="single" w:sz="4" w:space="2" w:color="000000"/>
        </w:pBdr>
      </w:pPr>
      <w:r>
        <w:rPr>
          <w:rFonts w:ascii="Sylfaen" w:hAnsi="Sylfaen" w:cs="Sylfaen" w:eastAsia="Sylfaen"/>
          <w:b/>
          <w:i w:val="0"/>
          <w:color w:val="000000"/>
          <w:sz w:val="24"/>
        </w:rPr>
        <w:t>3. პრაქტიკული დავალებები (ეტაპები II და III)</w:t>
      </w:r>
    </w:p>
    <w:p>
      <w:pPr>
        <w:spacing w:before="0" w:after="60" w:line="276" w:lineRule="auto"/>
        <w:jc w:val="both"/>
      </w:pPr>
      <w:r>
        <w:rPr>
          <w:rFonts w:ascii="Sylfaen" w:hAnsi="Sylfaen" w:cs="Sylfaen" w:eastAsia="Sylfaen"/>
          <w:b w:val="0"/>
          <w:i w:val="0"/>
          <w:color w:val="000000"/>
          <w:sz w:val="21"/>
        </w:rPr>
        <w:t>პრაქტიკული დავალებები სრულდება ელექტრონულად. კანდიდატს ეკრანზე წარედგინება ორი დამოუკიდებელი არქიტექტურული პროექტი (ეტაპი II — მრავალბინიანი, მრავალსართულიანი საცხოვრებელი სახლის არქიტექტურული პროექტი; ეტაპი III — საჯარო ან საზოგადოებრივი დანიშნულების შენობის არქიტექტურული პროექტი), რომლებშიც განზრახ არის დაშვებული ნორმატიული და ტექნიკური ხარვეზები.</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თითოეული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spacing w:before="0" w:after="60" w:line="276" w:lineRule="auto"/>
        <w:jc w:val="both"/>
      </w:pPr>
      <w:r>
        <w:rPr>
          <w:rFonts w:ascii="Sylfaen" w:hAnsi="Sylfaen" w:cs="Sylfaen" w:eastAsia="Sylfaen"/>
          <w:b w:val="0"/>
          <w:i w:val="0"/>
          <w:color w:val="000000"/>
          <w:sz w:val="21"/>
        </w:rPr>
        <w:t>პროექტებში დაშვებული ხარვეზები უკავშირდება:</w:t>
      </w:r>
    </w:p>
    <w:p>
      <w:pPr>
        <w:spacing w:before="0" w:after="60" w:line="276" w:lineRule="auto"/>
        <w:jc w:val="both"/>
      </w:pPr>
      <w:r>
        <w:rPr>
          <w:rFonts w:ascii="Sylfaen" w:hAnsi="Sylfaen" w:cs="Sylfaen" w:eastAsia="Sylfaen"/>
          <w:b w:val="0"/>
          <w:i w:val="0"/>
          <w:color w:val="000000"/>
          <w:sz w:val="21"/>
        </w:rPr>
        <w:t>ა) შენობა-ნაგებობის უსაფრთხოების წესებთან (№41 დადგენილება) შეუსაბამობას;</w:t>
      </w:r>
    </w:p>
    <w:p>
      <w:pPr>
        <w:spacing w:before="0" w:after="60" w:line="276" w:lineRule="auto"/>
        <w:jc w:val="both"/>
      </w:pPr>
      <w:r>
        <w:rPr>
          <w:rFonts w:ascii="Sylfaen" w:hAnsi="Sylfaen" w:cs="Sylfaen" w:eastAsia="Sylfaen"/>
          <w:b w:val="0"/>
          <w:i w:val="0"/>
          <w:color w:val="000000"/>
          <w:sz w:val="21"/>
        </w:rPr>
        <w:t>ბ) მისაწვდომობის ეროვნულ სტანდარტებთან (№732 დადგენილება) შეუსაბამობას;</w:t>
      </w:r>
    </w:p>
    <w:p>
      <w:pPr>
        <w:spacing w:before="0" w:after="60" w:line="276" w:lineRule="auto"/>
        <w:jc w:val="both"/>
      </w:pPr>
      <w:r>
        <w:rPr>
          <w:rFonts w:ascii="Sylfaen" w:hAnsi="Sylfaen" w:cs="Sylfaen" w:eastAsia="Sylfaen"/>
          <w:b w:val="0"/>
          <w:i w:val="0"/>
          <w:color w:val="000000"/>
          <w:sz w:val="21"/>
        </w:rPr>
        <w:t>გ) ტერიტორიების გამოყენებისა და განაშენიანების რეგულირებისა და მშენებლობის ნებართვის წესებთან (№261 და №255 დადგენილებები) შეუსაბამობას;</w:t>
      </w:r>
    </w:p>
    <w:p>
      <w:pPr>
        <w:spacing w:before="0" w:after="60" w:line="276" w:lineRule="auto"/>
        <w:jc w:val="both"/>
      </w:pPr>
      <w:r>
        <w:rPr>
          <w:rFonts w:ascii="Sylfaen" w:hAnsi="Sylfaen" w:cs="Sylfaen" w:eastAsia="Sylfaen"/>
          <w:b w:val="0"/>
          <w:i w:val="0"/>
          <w:color w:val="000000"/>
          <w:sz w:val="21"/>
        </w:rPr>
        <w:t>დ) გეომეტრიულ, გეგმარებით ან სხვა ტექნიკურ შეუსაბამობას.</w:t>
      </w:r>
    </w:p>
    <w:p>
      <w:pPr>
        <w:spacing w:before="0" w:after="60" w:line="276" w:lineRule="auto"/>
        <w:jc w:val="both"/>
      </w:pPr>
      <w:r>
        <w:rPr>
          <w:rFonts w:ascii="Sylfaen" w:hAnsi="Sylfaen" w:cs="Sylfaen" w:eastAsia="Sylfaen"/>
          <w:b w:val="0"/>
          <w:i w:val="0"/>
          <w:color w:val="000000"/>
          <w:sz w:val="21"/>
        </w:rPr>
        <w:t>კანდიდატი აანალიზებს წარმოდგენილ ნახაზებს და სავარაუდო შეუსაბამობების ჩამონათვალიდან მონიშნავს პროექტში რეალურად არსებულ ხარვეზებს.</w:t>
      </w:r>
    </w:p>
    <w:p>
      <w:pPr>
        <w:keepNext/>
        <w:spacing w:before="240" w:after="80"/>
        <w:jc w:val="left"/>
        <w:pBdr>
          <w:bottom w:val="single" w:sz="4" w:space="2" w:color="000000"/>
        </w:pBdr>
      </w:pPr>
      <w:r>
        <w:rPr>
          <w:rFonts w:ascii="Sylfaen" w:hAnsi="Sylfaen" w:cs="Sylfaen" w:eastAsia="Sylfaen"/>
          <w:b/>
          <w:i w:val="0"/>
          <w:color w:val="000000"/>
          <w:sz w:val="24"/>
        </w:rPr>
        <w:t>4. ჩაბარების ბარიერები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342"/>
        <w:gridCol w:w="2438"/>
        <w:gridCol w:w="2438"/>
        <w:gridCol w:w="2421"/>
      </w:tblGrid>
      <w:tr>
        <w:trPr>
          <w:cantSplit/>
          <w:tblHeader/>
        </w:trPr>
        <w:tc>
          <w:tcPr>
            <w:tcW w:type="dxa" w:w="2342"/>
            <w:vAlign w:val="center"/>
          </w:tcPr>
          <w:p>
            <w:pPr>
              <w:spacing w:before="20" w:after="20" w:line="264" w:lineRule="auto"/>
              <w:jc w:val="left"/>
            </w:pPr>
            <w:r>
              <w:rPr>
                <w:rFonts w:ascii="Sylfaen" w:hAnsi="Sylfaen" w:cs="Sylfaen" w:eastAsia="Sylfaen"/>
                <w:b/>
                <w:i w:val="0"/>
                <w:color w:val="000000"/>
                <w:sz w:val="20"/>
              </w:rPr>
              <w:t>კატეგორია</w:t>
            </w:r>
          </w:p>
        </w:tc>
        <w:tc>
          <w:tcPr>
            <w:tcW w:type="dxa" w:w="2438"/>
            <w:vAlign w:val="center"/>
          </w:tcPr>
          <w:p>
            <w:pPr>
              <w:spacing w:before="20" w:after="20" w:line="264" w:lineRule="auto"/>
              <w:jc w:val="left"/>
            </w:pPr>
            <w:r>
              <w:rPr>
                <w:rFonts w:ascii="Sylfaen" w:hAnsi="Sylfaen" w:cs="Sylfaen" w:eastAsia="Sylfaen"/>
                <w:b/>
                <w:i w:val="0"/>
                <w:color w:val="000000"/>
                <w:sz w:val="20"/>
              </w:rPr>
              <w:t>ეტაპი I — თეორიული ტესტირება</w:t>
            </w:r>
          </w:p>
        </w:tc>
        <w:tc>
          <w:tcPr>
            <w:tcW w:type="dxa" w:w="2438"/>
            <w:vAlign w:val="center"/>
          </w:tcPr>
          <w:p>
            <w:pPr>
              <w:spacing w:before="20" w:after="20" w:line="264" w:lineRule="auto"/>
              <w:jc w:val="left"/>
            </w:pPr>
            <w:r>
              <w:rPr>
                <w:rFonts w:ascii="Sylfaen" w:hAnsi="Sylfaen" w:cs="Sylfaen" w:eastAsia="Sylfaen"/>
                <w:b/>
                <w:i w:val="0"/>
                <w:color w:val="000000"/>
                <w:sz w:val="20"/>
              </w:rPr>
              <w:t>ეტაპები II და III — თითოეული პროექტი</w:t>
            </w:r>
          </w:p>
        </w:tc>
        <w:tc>
          <w:tcPr>
            <w:tcW w:type="dxa" w:w="2421"/>
            <w:vAlign w:val="center"/>
          </w:tcPr>
          <w:p>
            <w:pPr>
              <w:spacing w:before="20" w:after="20" w:line="264" w:lineRule="auto"/>
              <w:jc w:val="left"/>
            </w:pPr>
            <w:r>
              <w:rPr>
                <w:rFonts w:ascii="Sylfaen" w:hAnsi="Sylfaen" w:cs="Sylfaen" w:eastAsia="Sylfaen"/>
                <w:b/>
                <w:i w:val="0"/>
                <w:color w:val="000000"/>
                <w:sz w:val="20"/>
              </w:rPr>
              <w:t>დასაშვები ზედმეტი/არასწორი მონიშვნა თითოეულ პროექტზე</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A — არქიტექტორი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მინიმუმ </w:t>
            </w:r>
            <w:r>
              <w:rPr>
                <w:rFonts w:ascii="Sylfaen" w:hAnsi="Sylfaen" w:cs="Sylfaen" w:eastAsia="Sylfaen"/>
                <w:b/>
                <w:i w:val="0"/>
                <w:color w:val="000000"/>
                <w:sz w:val="20"/>
              </w:rPr>
              <w:t>70%</w:t>
            </w:r>
            <w:r>
              <w:rPr>
                <w:rFonts w:ascii="Sylfaen" w:hAnsi="Sylfaen" w:cs="Sylfaen" w:eastAsia="Sylfaen"/>
                <w:b w:val="0"/>
                <w:i w:val="0"/>
                <w:color w:val="000000"/>
                <w:sz w:val="20"/>
              </w:rPr>
              <w:t xml:space="preserve">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დაშვებული ხარვეზების მინიმუმ </w:t>
            </w:r>
            <w:r>
              <w:rPr>
                <w:rFonts w:ascii="Sylfaen" w:hAnsi="Sylfaen" w:cs="Sylfaen" w:eastAsia="Sylfaen"/>
                <w:b/>
                <w:i w:val="0"/>
                <w:color w:val="000000"/>
                <w:sz w:val="20"/>
              </w:rPr>
              <w:t>70%-ის</w:t>
            </w:r>
            <w:r>
              <w:rPr>
                <w:rFonts w:ascii="Sylfaen" w:hAnsi="Sylfaen" w:cs="Sylfaen" w:eastAsia="Sylfaen"/>
                <w:b w:val="0"/>
                <w:i w:val="0"/>
                <w:color w:val="000000"/>
                <w:sz w:val="20"/>
              </w:rPr>
              <w:t xml:space="preserve"> პოვნა</w:t>
            </w:r>
          </w:p>
        </w:tc>
        <w:tc>
          <w:tcPr>
            <w:tcW w:type="dxa" w:w="2421"/>
            <w:vAlign w:val="center"/>
          </w:tcPr>
          <w:p>
            <w:pPr>
              <w:spacing w:before="20" w:after="20" w:line="264" w:lineRule="auto"/>
              <w:jc w:val="left"/>
            </w:pPr>
            <w:r>
              <w:rPr>
                <w:rFonts w:ascii="Sylfaen" w:hAnsi="Sylfaen" w:cs="Sylfaen" w:eastAsia="Sylfaen"/>
                <w:b w:val="0"/>
                <w:i w:val="0"/>
                <w:color w:val="000000"/>
                <w:sz w:val="20"/>
              </w:rPr>
              <w:t xml:space="preserve">არაუმეტეს </w:t>
            </w:r>
            <w:r>
              <w:rPr>
                <w:rFonts w:ascii="Sylfaen" w:hAnsi="Sylfaen" w:cs="Sylfaen" w:eastAsia="Sylfaen"/>
                <w:b/>
                <w:i w:val="0"/>
                <w:color w:val="000000"/>
                <w:sz w:val="20"/>
              </w:rPr>
              <w:t>2</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B — სპეციალისტი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მინიმუმ </w:t>
            </w:r>
            <w:r>
              <w:rPr>
                <w:rFonts w:ascii="Sylfaen" w:hAnsi="Sylfaen" w:cs="Sylfaen" w:eastAsia="Sylfaen"/>
                <w:b/>
                <w:i w:val="0"/>
                <w:color w:val="000000"/>
                <w:sz w:val="20"/>
              </w:rPr>
              <w:t>75%</w:t>
            </w:r>
            <w:r>
              <w:rPr>
                <w:rFonts w:ascii="Sylfaen" w:hAnsi="Sylfaen" w:cs="Sylfaen" w:eastAsia="Sylfaen"/>
                <w:b w:val="0"/>
                <w:i w:val="0"/>
                <w:color w:val="000000"/>
                <w:sz w:val="20"/>
              </w:rPr>
              <w:t xml:space="preserve">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დაშვებული ხარვეზების მინიმუმ </w:t>
            </w:r>
            <w:r>
              <w:rPr>
                <w:rFonts w:ascii="Sylfaen" w:hAnsi="Sylfaen" w:cs="Sylfaen" w:eastAsia="Sylfaen"/>
                <w:b/>
                <w:i w:val="0"/>
                <w:color w:val="000000"/>
                <w:sz w:val="20"/>
              </w:rPr>
              <w:t>75%-ის</w:t>
            </w:r>
            <w:r>
              <w:rPr>
                <w:rFonts w:ascii="Sylfaen" w:hAnsi="Sylfaen" w:cs="Sylfaen" w:eastAsia="Sylfaen"/>
                <w:b w:val="0"/>
                <w:i w:val="0"/>
                <w:color w:val="000000"/>
                <w:sz w:val="20"/>
              </w:rPr>
              <w:t xml:space="preserve"> პოვნა</w:t>
            </w:r>
          </w:p>
        </w:tc>
        <w:tc>
          <w:tcPr>
            <w:tcW w:type="dxa" w:w="2421"/>
            <w:vAlign w:val="center"/>
          </w:tcPr>
          <w:p>
            <w:pPr>
              <w:spacing w:before="20" w:after="20" w:line="264" w:lineRule="auto"/>
              <w:jc w:val="left"/>
            </w:pPr>
            <w:r>
              <w:rPr>
                <w:rFonts w:ascii="Sylfaen" w:hAnsi="Sylfaen" w:cs="Sylfaen" w:eastAsia="Sylfaen"/>
                <w:b w:val="0"/>
                <w:i w:val="0"/>
                <w:color w:val="000000"/>
                <w:sz w:val="20"/>
              </w:rPr>
              <w:t xml:space="preserve">არაუმეტეს </w:t>
            </w:r>
            <w:r>
              <w:rPr>
                <w:rFonts w:ascii="Sylfaen" w:hAnsi="Sylfaen" w:cs="Sylfaen" w:eastAsia="Sylfaen"/>
                <w:b/>
                <w:i w:val="0"/>
                <w:color w:val="000000"/>
                <w:sz w:val="20"/>
              </w:rPr>
              <w:t>1</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C — ექსპერტი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მინიმუმ </w:t>
            </w:r>
            <w:r>
              <w:rPr>
                <w:rFonts w:ascii="Sylfaen" w:hAnsi="Sylfaen" w:cs="Sylfaen" w:eastAsia="Sylfaen"/>
                <w:b/>
                <w:i w:val="0"/>
                <w:color w:val="000000"/>
                <w:sz w:val="20"/>
              </w:rPr>
              <w:t>75%</w:t>
            </w:r>
            <w:r>
              <w:rPr>
                <w:rFonts w:ascii="Sylfaen" w:hAnsi="Sylfaen" w:cs="Sylfaen" w:eastAsia="Sylfaen"/>
                <w:b w:val="0"/>
                <w:i w:val="0"/>
                <w:color w:val="000000"/>
                <w:sz w:val="20"/>
              </w:rPr>
              <w:t xml:space="preserve">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 xml:space="preserve">დაშვებული ხარვეზების მინიმუმ </w:t>
            </w:r>
            <w:r>
              <w:rPr>
                <w:rFonts w:ascii="Sylfaen" w:hAnsi="Sylfaen" w:cs="Sylfaen" w:eastAsia="Sylfaen"/>
                <w:b/>
                <w:i w:val="0"/>
                <w:color w:val="000000"/>
                <w:sz w:val="20"/>
              </w:rPr>
              <w:t>75%-ის</w:t>
            </w:r>
            <w:r>
              <w:rPr>
                <w:rFonts w:ascii="Sylfaen" w:hAnsi="Sylfaen" w:cs="Sylfaen" w:eastAsia="Sylfaen"/>
                <w:b w:val="0"/>
                <w:i w:val="0"/>
                <w:color w:val="000000"/>
                <w:sz w:val="20"/>
              </w:rPr>
              <w:t xml:space="preserve"> პოვნა</w:t>
            </w:r>
          </w:p>
        </w:tc>
        <w:tc>
          <w:tcPr>
            <w:tcW w:type="dxa" w:w="2421"/>
            <w:vAlign w:val="center"/>
          </w:tcPr>
          <w:p>
            <w:pPr>
              <w:spacing w:before="20" w:after="20" w:line="264" w:lineRule="auto"/>
              <w:jc w:val="left"/>
            </w:pPr>
            <w:r>
              <w:rPr>
                <w:rFonts w:ascii="Sylfaen" w:hAnsi="Sylfaen" w:cs="Sylfaen" w:eastAsia="Sylfaen"/>
                <w:b w:val="0"/>
                <w:i w:val="0"/>
                <w:color w:val="000000"/>
                <w:sz w:val="20"/>
              </w:rPr>
              <w:t xml:space="preserve">არაუმეტეს </w:t>
            </w:r>
            <w:r>
              <w:rPr>
                <w:rFonts w:ascii="Sylfaen" w:hAnsi="Sylfaen" w:cs="Sylfaen" w:eastAsia="Sylfaen"/>
                <w:b/>
                <w:i w:val="0"/>
                <w:color w:val="000000"/>
                <w:sz w:val="20"/>
              </w:rPr>
              <w:t>1</w:t>
            </w:r>
          </w:p>
        </w:tc>
      </w:tr>
    </w:tbl>
    <w:p>
      <w:pPr>
        <w:spacing w:before="0" w:after="60" w:line="276" w:lineRule="auto"/>
        <w:jc w:val="both"/>
      </w:pPr>
      <w:r>
        <w:rPr>
          <w:rFonts w:ascii="Sylfaen" w:hAnsi="Sylfaen" w:cs="Sylfaen" w:eastAsia="Sylfaen"/>
          <w:b/>
          <w:i w:val="0"/>
          <w:color w:val="000000"/>
          <w:sz w:val="21"/>
        </w:rPr>
        <w:t>შეფასების წესი: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ზედმეტი/არასწორი ხარვეზი</w:t>
      </w:r>
      <w:r>
        <w:rPr>
          <w:rFonts w:ascii="Sylfaen" w:hAnsi="Sylfaen" w:cs="Sylfaen" w:eastAsia="Sylfaen"/>
          <w:b w:val="0"/>
          <w:i w:val="0"/>
          <w:color w:val="000000"/>
          <w:sz w:val="21"/>
        </w:rPr>
        <w:t xml:space="preserve"> არის კანდიდატის საბოლოო პასუხში მონიშნული ისეთი სავარაუდო შეუსაბამობა, რომელიც მოცემულ პროექტში რეალურად არ არსებობს. A კატეგორიისთვის რომელიმე პროექტში 3 ან მეტი, ხოლო B და C კატეგორიებისთვის 2 ან მეტი ზედმეტი/არასწორი ხარვეზის მონიშვნა იწვევს შესაბამისი კატეგორიის ბარიერის ვერგადალახვას;</w:t>
      </w:r>
    </w:p>
    <w:p>
      <w:pPr>
        <w:spacing w:before="0" w:after="50" w:line="276" w:lineRule="auto"/>
        <w:jc w:val="both"/>
      </w:pPr>
      <w:r>
        <w:rPr>
          <w:rFonts w:ascii="Sylfaen" w:hAnsi="Sylfaen" w:cs="Sylfaen" w:eastAsia="Sylfaen"/>
          <w:b w:val="0"/>
          <w:i w:val="0"/>
          <w:color w:val="000000"/>
          <w:sz w:val="21"/>
        </w:rPr>
        <w:t>– გამოცდის დღეს კანდიდატი თანმიმდევრულად გადის გამოცდის სამივე ეტაპს: I ან II ეტაპზე გამსვლელი ბარიერის ვერგადალახვა არ ზღუდავს კანდიდატს იმავე საგამოცდო სესიაზე მომდევნო ეტაპ(ებ)ის დავალებაზე მუშაობაში, ხოლო განმეორებით გამოცდაზე გასვლისას ცალკეული ეტაპის შედეგი არ ინახება — კანდიდატი ხელახლა აბარებს სრულ გამოცდას (სამივე ეტაპს თავიდან);</w:t>
      </w:r>
    </w:p>
    <w:p>
      <w:pPr>
        <w:spacing w:before="0" w:after="50" w:line="276" w:lineRule="auto"/>
        <w:jc w:val="both"/>
      </w:pPr>
      <w:r>
        <w:rPr>
          <w:rFonts w:ascii="Sylfaen" w:hAnsi="Sylfaen" w:cs="Sylfaen" w:eastAsia="Sylfaen"/>
          <w:b w:val="0"/>
          <w:i w:val="0"/>
          <w:color w:val="000000"/>
          <w:sz w:val="21"/>
        </w:rPr>
        <w:t>– თუ კანდიდატი მიიჩნევს, რომ მის მიერ მონიშნული პუნქტი პროექტში რეალურად არსებულ ნორმატიულ ხარვეზს ასახავს, მას უფლება აქვს მოითხოვოს შედეგის გადასინჯვა აპელაციის წესით;</w:t>
      </w:r>
    </w:p>
    <w:p>
      <w:pPr>
        <w:spacing w:before="0" w:after="50" w:line="276" w:lineRule="auto"/>
        <w:jc w:val="both"/>
      </w:pPr>
      <w:r>
        <w:rPr>
          <w:rFonts w:ascii="Sylfaen" w:hAnsi="Sylfaen" w:cs="Sylfaen" w:eastAsia="Sylfaen"/>
          <w:b w:val="0"/>
          <w:i w:val="0"/>
          <w:color w:val="000000"/>
          <w:sz w:val="21"/>
        </w:rPr>
        <w:t>– თუ B ან C კატეგორიაზე დარეგისტრირებული კანდიდატის საგამოცდო შედეგი სრულად აკმაყოფილებს არჩეული პრიორიტეტული კატეგორიის ბარიერს (≥75%, არაუმეტეს 1 ზედმეტი/არასწორი ხარვეზის მონიშვნით), მას ენიჭება განაცხადში მითითებული B ან C კატეგორია; ხოლო თუ მან ვერ გადალახა 75%-იანი ბარიერი, მაგრამ სამივე ეტაპზე დააკმაყოფილა A კატეგორიის ზღვარი (≥70% თითოეულ თავში/ქვეთავში და თითოეულ პროექტში, არაუმეტეს 2 ზედმეტი/არასწორი ხარვეზის მონიშვნით — მათ შორის ≥75% შედეგისა და პროექტში 2 არასწორი მონიშვნის შემთხვევაში), განაცხადის ფორმაში წინასწარ დაფიქსირებული თანხმობის საფუძველზე მას ენიჭება A კატეგორიის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5. საგამოცდო პირობები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უსაფრთხო გარემო და მონიტორინგი:</w:t>
      </w:r>
      <w:r>
        <w:rPr>
          <w:rFonts w:ascii="Sylfaen" w:hAnsi="Sylfaen" w:cs="Sylfaen" w:eastAsia="Sylfaen"/>
          <w:b w:val="0"/>
          <w:i w:val="0"/>
          <w:color w:val="000000"/>
          <w:sz w:val="21"/>
        </w:rPr>
        <w:t xml:space="preserve"> გამოცდა მიმდინარეობს საგამოცდო ზედამხედველის დასწრებით, ჩაკეტილ პროგრამულ გარემოში (Lockdown რეჟიმი). საგამოცდო ფანჯრიდან გამოსვლის მცდელობისას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 თუ კანდიდატი 10 წამში არ დაბრუნდება საგამოცდო ფანჯარაში, გამოცდა ავტომატურად წყდება. თითოეული საგამოცდო კომპიუტერის მონიტორი აღჭურვილია ვებკამერით და საგამოცდო დარბაზში განთავსებულია სამეთვალყურეო ვიდეოკამერები — სესიის განმავლობაში ხორციელდება სამუშაო ეკრანისა და საგამოცდო პროცესის უწყვეტი ვიდეო- და აუდიოჩაწერა, რის შესახებაც კანდიდატი წინასწარ არის ინფორმირებული;</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აკრძალული ნივთები და ქცევის წესი:</w:t>
      </w:r>
      <w:r>
        <w:rPr>
          <w:rFonts w:ascii="Sylfaen" w:hAnsi="Sylfaen" w:cs="Sylfaen" w:eastAsia="Sylfaen"/>
          <w:b w:val="0"/>
          <w:i w:val="0"/>
          <w:color w:val="000000"/>
          <w:sz w:val="21"/>
        </w:rPr>
        <w:t xml:space="preserve"> სამუშაო მაგიდასთან აკრძალულია მობილური ტელეფონის, ჭკვიანი საათის, ნებისმიერი პირადი ელექტრონული მოწყობილობის ან გარე მატერიალური/ელექტრონული დამხმარე მასალის ქონა და გამოყენება (პირადი ნივთები და გამორთული ან უხმო რეჟიმში გადაყვანილი მობილური ტელეფონი სესიის დაწყებამდე თავსდება სამუშაო მაგიდის მიღმა გამოყოფილ ადგილას), აგრეთვე კანდიდატებს შორის საუბარი ან კარნახი. საგამოცდო ეტაპის მსვლელობისას აუდიტორიიდან დროებით გასვლის (ზედამხედველის წინასწარი ინფორმირებით) შემთხვევაში საგამოცდო დრო და ჩაწერა არ ჩერდება;</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გამოცხადება და სესიის გადატანა:</w:t>
      </w:r>
      <w:r>
        <w:rPr>
          <w:rFonts w:ascii="Sylfaen" w:hAnsi="Sylfaen" w:cs="Sylfaen" w:eastAsia="Sylfaen"/>
          <w:b w:val="0"/>
          <w:i w:val="0"/>
          <w:color w:val="000000"/>
          <w:sz w:val="21"/>
        </w:rPr>
        <w:t xml:space="preserve"> კანდიდატი ვალდებულია გამოცხადდეს საგამოცდო ცენტრში გამოცდის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xml:space="preserve"> პირადობის დამადასტურებელი მოქმედი დოკუმენტით. თუ კანდიდატი გამოცხადდება რეგისტრაციისთვის განსაზღვრული დროის შემდეგ, მაგრამ გამოცდის დაწყების დადგენილ დრომდე, იგი გამოცდაზე დაიშვება იმ შემთხვევაში, თუ დარჩენილი დრო საკმარისია იდენტიფიცირებისა და საგამოცდო და სასერტიფიკაციო ხელშეკრულების ხელმოწერისთვის სესიის დაწყების შეფერხების გარეშე; გამოცდის დაწყების დადგენილი დროის შემდეგ გამოცხადებული კანდიდატი გამოცდაზე არ დაიშვება (გადახდილი 350 ლარი არ ბრუნდება). კანდიდატს უფლება აქვს თითოეული გადახდილი მცდელობის ფარგლებში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მოითხოვოს საგამოცდო სესიის თარიღის გადატანა დამატებითი საფასურის გარეშე, თუ წერილობით (ელექტრონულად) მიმართავს ინსტიტუტს გამოცდამდე არანაკლებ </w:t>
      </w:r>
      <w:r>
        <w:rPr>
          <w:rFonts w:ascii="Sylfaen" w:hAnsi="Sylfaen" w:cs="Sylfaen" w:eastAsia="Sylfaen"/>
          <w:b/>
          <w:i w:val="0"/>
          <w:color w:val="000000"/>
          <w:sz w:val="21"/>
        </w:rPr>
        <w:t>3 სამუშაო დღით ადრე</w:t>
      </w:r>
      <w:r>
        <w:rPr>
          <w:rFonts w:ascii="Sylfaen" w:hAnsi="Sylfaen" w:cs="Sylfaen" w:eastAsia="Sylfaen"/>
          <w:b w:val="0"/>
          <w:i w:val="0"/>
          <w:color w:val="000000"/>
          <w:sz w:val="21"/>
        </w:rPr>
        <w:t xml:space="preserve">, ხოლო ავადმყოფობის ან ფორსმაჟორის შემთხვევაში — თუ ოფიციალურ ცნობას წარადგენს გამოცდის დღიდან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საცნობარო ნორმატიული მასალა:</w:t>
      </w:r>
      <w:r>
        <w:rPr>
          <w:rFonts w:ascii="Sylfaen" w:hAnsi="Sylfaen" w:cs="Sylfaen" w:eastAsia="Sylfaen"/>
          <w:b w:val="0"/>
          <w:i w:val="0"/>
          <w:color w:val="000000"/>
          <w:sz w:val="21"/>
        </w:rPr>
        <w:t xml:space="preserve"> საგამოცდო პლატფორმაში საცნობარო ნორმატიული მასალის განთავსების შემთხვევაში, კანდიდატს მასზე წვდომა ეძლევა უშუალოდ საგამოცდო პროგრამის ფანჯარაში (დოკუმენტების დათვალიერებისა და სარჩევით, თავებითა და მუხლებით ნავიგაციის რეჟიმში; ტექსტში ავტომატური ძებნა —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კოპირება და ბეჭდვა გამორთულია, ხოლო საჭირო ნორმატიულ წყაროს კანდიდატი თავად ირჩევს).</w:t>
      </w:r>
    </w:p>
    <w:p>
      <w:pPr>
        <w:keepNext/>
        <w:spacing w:before="240" w:after="80"/>
        <w:jc w:val="left"/>
        <w:pBdr>
          <w:bottom w:val="single" w:sz="4" w:space="2" w:color="000000"/>
        </w:pBdr>
      </w:pPr>
      <w:r>
        <w:rPr>
          <w:rFonts w:ascii="Sylfaen" w:hAnsi="Sylfaen" w:cs="Sylfaen" w:eastAsia="Sylfaen"/>
          <w:b/>
          <w:i w:val="0"/>
          <w:color w:val="000000"/>
          <w:sz w:val="24"/>
        </w:rPr>
        <w:t>6. ჩასაბარებელი ნორმებისა და თემატიკის ჩამონათვალი</w:t>
      </w:r>
    </w:p>
    <w:p>
      <w:pPr>
        <w:spacing w:before="0" w:after="60" w:line="276" w:lineRule="auto"/>
        <w:jc w:val="both"/>
      </w:pPr>
      <w:r>
        <w:rPr>
          <w:rFonts w:ascii="Sylfaen" w:hAnsi="Sylfaen" w:cs="Sylfaen" w:eastAsia="Sylfaen"/>
          <w:b w:val="0"/>
          <w:i w:val="0"/>
          <w:color w:val="000000"/>
          <w:sz w:val="21"/>
        </w:rPr>
        <w:t>სასერტიფიკაციო გამოცდის თემატიკა ეფუძნება საქართველოს მთავრობის №134 დადგენილების დანართი №1-ით განსაზღვრულ შემდეგ 10 ნორმატიულ აქტსა და თემატურ მიმართულებებს:</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480"/>
        <w:gridCol w:w="2645"/>
        <w:gridCol w:w="3273"/>
        <w:gridCol w:w="3241"/>
      </w:tblGrid>
      <w:tr>
        <w:trPr>
          <w:cantSplit/>
          <w:tblHeader/>
        </w:trPr>
        <w:tc>
          <w:tcPr>
            <w:tcW w:type="dxa" w:w="480"/>
            <w:vAlign w:val="center"/>
          </w:tcPr>
          <w:p>
            <w:pPr>
              <w:spacing w:before="20" w:after="20" w:line="264" w:lineRule="auto"/>
              <w:jc w:val="left"/>
            </w:pPr>
            <w:r>
              <w:rPr>
                <w:rFonts w:ascii="Sylfaen" w:hAnsi="Sylfaen" w:cs="Sylfaen" w:eastAsia="Sylfaen"/>
                <w:b/>
                <w:i w:val="0"/>
                <w:color w:val="000000"/>
                <w:sz w:val="20"/>
              </w:rPr>
              <w:t>№</w:t>
            </w:r>
          </w:p>
        </w:tc>
        <w:tc>
          <w:tcPr>
            <w:tcW w:type="dxa" w:w="2645"/>
            <w:vAlign w:val="center"/>
          </w:tcPr>
          <w:p>
            <w:pPr>
              <w:spacing w:before="20" w:after="20" w:line="264" w:lineRule="auto"/>
              <w:jc w:val="left"/>
            </w:pPr>
            <w:r>
              <w:rPr>
                <w:rFonts w:ascii="Sylfaen" w:hAnsi="Sylfaen" w:cs="Sylfaen" w:eastAsia="Sylfaen"/>
                <w:b/>
                <w:i w:val="0"/>
                <w:color w:val="000000"/>
                <w:sz w:val="20"/>
              </w:rPr>
              <w:t>დისციპლინა / თემა</w:t>
            </w:r>
          </w:p>
        </w:tc>
        <w:tc>
          <w:tcPr>
            <w:tcW w:type="dxa" w:w="3273"/>
            <w:vAlign w:val="center"/>
          </w:tcPr>
          <w:p>
            <w:pPr>
              <w:spacing w:before="20" w:after="20" w:line="264" w:lineRule="auto"/>
              <w:jc w:val="left"/>
            </w:pPr>
            <w:r>
              <w:rPr>
                <w:rFonts w:ascii="Sylfaen" w:hAnsi="Sylfaen" w:cs="Sylfaen" w:eastAsia="Sylfaen"/>
                <w:b/>
                <w:i w:val="0"/>
                <w:color w:val="000000"/>
                <w:sz w:val="20"/>
              </w:rPr>
              <w:t>ნორმატიული აქტი / ქვეთემა</w:t>
            </w:r>
          </w:p>
        </w:tc>
        <w:tc>
          <w:tcPr>
            <w:tcW w:type="dxa" w:w="3241"/>
            <w:vAlign w:val="center"/>
          </w:tcPr>
          <w:p>
            <w:pPr>
              <w:spacing w:before="20" w:after="20" w:line="264" w:lineRule="auto"/>
              <w:jc w:val="left"/>
            </w:pPr>
            <w:r>
              <w:rPr>
                <w:rFonts w:ascii="Sylfaen" w:hAnsi="Sylfaen" w:cs="Sylfaen" w:eastAsia="Sylfaen"/>
                <w:b/>
                <w:i w:val="0"/>
                <w:color w:val="000000"/>
                <w:sz w:val="20"/>
              </w:rPr>
              <w:t>შესაბამისი კონტექსტი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სანებართვო კანონმდებლობა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31 მაისის №255 დადგენილება „მშენებლობის ნებართვის გაცემისა და შენობა-ნაგებობის ექსპლუატაციაში მიღების წესისა და პირობების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მიღების წესები სხვადასხვა კლასის შენობა-ნაგებობისთვის; სანებართვო დოკუმენტაციის სახეები და მინიმალური მოთხოვნები მათდამი.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2</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სანებართვო კანონმდებლობა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 ივნისის №261 დადგენილება „ტერიტორიების გამოყენების და განაშენიანების რეგულირების ძირითადი დებულებების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ფუნქციური ზონირება, განაშენიანების რეგულირების კოეფიციენტები, მიწის ნაკვეთის სამშენებლოდ გამოყენების პირობები და მიჯნის ზონის მოთხოვნები.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3</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სანებართვო კანონმდებლობა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2024 წლის 10 აპრილის №134 დადგენილება „არქიტექტორებისა და ინჟინერ-მშენებლების სერტიფიცირების წესის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სავალდებულო სერტიფიცირების წესი, კატეგორიები, სერტიფიკატის გაცემის, მოქმედების, შეჩერების, გაუქმებისა და რესერტიფიცირების სამართლებრივი მოთხოვნები.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4</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სამშენებლო ტექნოლოგიები (2.1 — სტრუქტურული სისტემები)</w:t>
            </w:r>
          </w:p>
        </w:tc>
        <w:tc>
          <w:tcPr>
            <w:tcW w:type="dxa" w:w="3273"/>
            <w:vAlign w:val="center"/>
          </w:tcPr>
          <w:p>
            <w:pPr>
              <w:spacing w:before="20" w:after="20" w:line="264" w:lineRule="auto"/>
              <w:jc w:val="left"/>
            </w:pPr>
            <w:r>
              <w:rPr>
                <w:rFonts w:ascii="Sylfaen" w:hAnsi="Sylfaen" w:cs="Sylfaen" w:eastAsia="Sylfaen"/>
                <w:b w:val="0"/>
                <w:i w:val="0"/>
                <w:color w:val="000000"/>
                <w:sz w:val="20"/>
              </w:rPr>
              <w:t>ზოგადი პროფესიული საკითხები</w:t>
            </w:r>
          </w:p>
        </w:tc>
        <w:tc>
          <w:tcPr>
            <w:tcW w:type="dxa" w:w="3241"/>
            <w:vAlign w:val="center"/>
          </w:tcPr>
          <w:p>
            <w:pPr>
              <w:spacing w:before="20" w:after="20" w:line="264" w:lineRule="auto"/>
              <w:jc w:val="left"/>
            </w:pPr>
            <w:r>
              <w:rPr>
                <w:rFonts w:ascii="Sylfaen" w:hAnsi="Sylfaen" w:cs="Sylfaen" w:eastAsia="Sylfaen"/>
                <w:b w:val="0"/>
                <w:i w:val="0"/>
                <w:color w:val="000000"/>
                <w:sz w:val="20"/>
              </w:rPr>
              <w:t>ზოგადი პრინციპები შენობების მზიდი კონსტრუქციების, კონსტრუქციული ელემენტების (საძირკვლების, კარკასის, გადახურვის სისტემები) ტიპების შერჩევისთვის და მზიდი ელემენტების ოპტიმალური გადაწყვეტის პრინციპები.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5</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სამშენებლო ტექნოლოგიები (2.2 — გარემო)</w:t>
            </w:r>
          </w:p>
        </w:tc>
        <w:tc>
          <w:tcPr>
            <w:tcW w:type="dxa" w:w="3273"/>
            <w:vAlign w:val="center"/>
          </w:tcPr>
          <w:p>
            <w:pPr>
              <w:spacing w:before="20" w:after="20" w:line="264" w:lineRule="auto"/>
              <w:jc w:val="left"/>
            </w:pPr>
            <w:r>
              <w:rPr>
                <w:rFonts w:ascii="Sylfaen" w:hAnsi="Sylfaen" w:cs="Sylfaen" w:eastAsia="Sylfaen"/>
                <w:b w:val="0"/>
                <w:i w:val="0"/>
                <w:color w:val="000000"/>
                <w:sz w:val="20"/>
              </w:rPr>
              <w:t>1. საქართველოს 2020 წლის 21 მაისის კანონი „ენერგოეფექტურობის შესახებ“;&lt;br&gt;2. საქართველოს მთავრობის 2021 წლის 13 ივლისის №354 დადგენილება „შენობების, შენობების ნაწილების ან შენობების ელემენტების ენერგოეფექტურობის მინიმალური მოთხოვნების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ნაგებობების გარემოს და მიკროკლიმატის კონტროლი ადამიანთა კომფორტის და შენობის დანიშნულების შესაბამისად (კონდიცირება, ენერგოეფექტურობა, ენერგიის გადაცემა და განაწილება, აქტიური და პასიური გათბობა/გაგრილების სისტემები, ბუნებრივი და ხელოვნური განათება, ბუნებრივი გაგრილება, ჰაერის ხარისხის კონტროლი, მზის ენერგიის გამოყენება და სხვ.).</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6</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სამშენებლო ტექნოლოგიები (2.3 — სამშენებლო მასალები და ტექნოლოგიები)</w:t>
            </w:r>
          </w:p>
        </w:tc>
        <w:tc>
          <w:tcPr>
            <w:tcW w:type="dxa" w:w="3273"/>
            <w:vAlign w:val="center"/>
          </w:tcPr>
          <w:p>
            <w:pPr>
              <w:spacing w:before="20" w:after="20" w:line="264" w:lineRule="auto"/>
              <w:jc w:val="left"/>
            </w:pPr>
            <w:r>
              <w:rPr>
                <w:rFonts w:ascii="Sylfaen" w:hAnsi="Sylfaen" w:cs="Sylfaen" w:eastAsia="Sylfaen"/>
                <w:b w:val="0"/>
                <w:i w:val="0"/>
                <w:color w:val="000000"/>
                <w:sz w:val="20"/>
              </w:rPr>
              <w:t>ზოგადი პროფესიული საკითხები</w:t>
            </w:r>
          </w:p>
        </w:tc>
        <w:tc>
          <w:tcPr>
            <w:tcW w:type="dxa" w:w="3241"/>
            <w:vAlign w:val="center"/>
          </w:tcPr>
          <w:p>
            <w:pPr>
              <w:spacing w:before="20" w:after="20" w:line="264" w:lineRule="auto"/>
              <w:jc w:val="left"/>
            </w:pPr>
            <w:r>
              <w:rPr>
                <w:rFonts w:ascii="Sylfaen" w:hAnsi="Sylfaen" w:cs="Sylfaen" w:eastAsia="Sylfaen"/>
                <w:b w:val="0"/>
                <w:i w:val="0"/>
                <w:color w:val="000000"/>
                <w:sz w:val="20"/>
              </w:rPr>
              <w:t>სამშენებლო და მოსაპირკეთებელი მასალების ზოგადი თვისებები, გამოყენების არეალი; ინტერიერში და ექსტერიერში გამოსაყენებელი მასალების თვისებები, მათი ოპტიმალური შერჩევა და ზემოქმედება შიგა და გარე გარემოზე.</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7</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სამშენებლო ტექნოლოგიები (2.4 — საინჟინრო სისტემები)</w:t>
            </w:r>
          </w:p>
        </w:tc>
        <w:tc>
          <w:tcPr>
            <w:tcW w:type="dxa" w:w="3273"/>
            <w:vAlign w:val="center"/>
          </w:tcPr>
          <w:p>
            <w:pPr>
              <w:spacing w:before="20" w:after="20" w:line="264" w:lineRule="auto"/>
              <w:jc w:val="left"/>
            </w:pPr>
            <w:r>
              <w:rPr>
                <w:rFonts w:ascii="Sylfaen" w:hAnsi="Sylfaen" w:cs="Sylfaen" w:eastAsia="Sylfaen"/>
                <w:b w:val="0"/>
                <w:i w:val="0"/>
                <w:color w:val="000000"/>
                <w:sz w:val="20"/>
              </w:rPr>
              <w:t>ზოგადი პროფესიული საკითხები</w:t>
            </w:r>
          </w:p>
        </w:tc>
        <w:tc>
          <w:tcPr>
            <w:tcW w:type="dxa" w:w="3241"/>
            <w:vAlign w:val="center"/>
          </w:tcPr>
          <w:p>
            <w:pPr>
              <w:spacing w:before="20" w:after="20" w:line="264" w:lineRule="auto"/>
              <w:jc w:val="left"/>
            </w:pPr>
            <w:r>
              <w:rPr>
                <w:rFonts w:ascii="Sylfaen" w:hAnsi="Sylfaen" w:cs="Sylfaen" w:eastAsia="Sylfaen"/>
                <w:b w:val="0"/>
                <w:i w:val="0"/>
                <w:color w:val="000000"/>
                <w:sz w:val="20"/>
              </w:rPr>
              <w:t>ზოგადი ცოდნა წყალგაყვანილობის, კანალიზაციის, ელექტრო, კომუნიკაციის, ვერტიკალური ტრანსპორტის, დაცვის (მათ შორის, სახანძრო), საკონტროლო და სასიგნალო სისტემების გამოყენებაზე შენობებში.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8</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სამშენებლო ტექნოლოგიები (2.5 — შენობის ღირებულების შეფასება)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2026 წლის 1 ივნისის დადგენილება №241 „ტექნიკური რეგლამენტის − სამშენებლო სამუშაოების სახელმწიფო შესყიდვისას ზედნადები ხარჯების, გეგმური მოგებისა და სხვა დანარიცხების განსაზღვრის წესის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ზოგადი საკითხები შენობის და მშენებლობის ღირებულების დადგენის პრინციპების შესახებ და მათზე მოქმედი ფაქტორების ანალიზის უნარი.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9</w:t>
            </w:r>
          </w:p>
        </w:tc>
        <w:tc>
          <w:tcPr>
            <w:tcW w:type="dxa" w:w="2645"/>
            <w:vAlign w:val="center"/>
          </w:tcPr>
          <w:p>
            <w:pPr>
              <w:spacing w:before="20" w:after="20" w:line="264" w:lineRule="auto"/>
              <w:jc w:val="left"/>
            </w:pPr>
            <w:r>
              <w:rPr>
                <w:rFonts w:ascii="Sylfaen" w:hAnsi="Sylfaen" w:cs="Sylfaen" w:eastAsia="Sylfaen"/>
                <w:b w:val="0"/>
                <w:i w:val="0"/>
                <w:color w:val="000000"/>
                <w:sz w:val="20"/>
              </w:rPr>
              <w:t>პროფესიული პრაქტიკა</w:t>
            </w:r>
          </w:p>
        </w:tc>
        <w:tc>
          <w:tcPr>
            <w:tcW w:type="dxa" w:w="3273"/>
            <w:vAlign w:val="center"/>
          </w:tcPr>
          <w:p>
            <w:pPr>
              <w:spacing w:before="20" w:after="20" w:line="264" w:lineRule="auto"/>
              <w:jc w:val="left"/>
            </w:pPr>
            <w:r>
              <w:rPr>
                <w:rFonts w:ascii="Sylfaen" w:hAnsi="Sylfaen" w:cs="Sylfaen" w:eastAsia="Sylfaen"/>
                <w:b w:val="0"/>
                <w:i w:val="0"/>
                <w:color w:val="000000"/>
                <w:sz w:val="20"/>
              </w:rPr>
              <w:t>1. საქართველოს 1998 წლის 14 აპრილის კანონი „არქიტექტურული საქმიანობის შესახებ“;&lt;br&gt;2. საქართველოს 2018 წლის 20 ივლისის კანონი „საქართველოს სივრცის დაგეგმარების, არქიტექტურული და სამშენებლო საქმიანობის კოდექსი“</w:t>
            </w:r>
          </w:p>
        </w:tc>
        <w:tc>
          <w:tcPr>
            <w:tcW w:type="dxa" w:w="3241"/>
            <w:vAlign w:val="center"/>
          </w:tcPr>
          <w:p>
            <w:pPr>
              <w:spacing w:before="20" w:after="20" w:line="264" w:lineRule="auto"/>
              <w:jc w:val="left"/>
            </w:pPr>
            <w:r>
              <w:rPr>
                <w:rFonts w:ascii="Sylfaen" w:hAnsi="Sylfaen" w:cs="Sylfaen" w:eastAsia="Sylfaen"/>
                <w:b w:val="0"/>
                <w:i w:val="0"/>
                <w:color w:val="000000"/>
                <w:sz w:val="20"/>
              </w:rPr>
              <w:t>არქიტექტურული საქმიანობის სამართლებრივი საფუძვლები, არქიტექტორის უფლება-მოვალეობები, სივრცის დაგეგმარებისა და სამშენებლო საქმიანობის ერთიანი სამართლებრივი ჩარჩო და პასუხისმგებლობა.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10</w:t>
            </w:r>
          </w:p>
        </w:tc>
        <w:tc>
          <w:tcPr>
            <w:tcW w:type="dxa" w:w="2645"/>
            <w:vAlign w:val="center"/>
          </w:tcPr>
          <w:p>
            <w:pPr>
              <w:spacing w:before="20" w:after="20" w:line="264" w:lineRule="auto"/>
              <w:jc w:val="left"/>
            </w:pPr>
            <w:r>
              <w:rPr>
                <w:rFonts w:ascii="Sylfaen" w:hAnsi="Sylfaen" w:cs="Sylfaen" w:eastAsia="Sylfaen"/>
                <w:b w:val="0"/>
                <w:i w:val="0"/>
                <w:color w:val="000000"/>
                <w:sz w:val="20"/>
              </w:rPr>
              <w:t>პროექტირება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1. საქართველოს მთავრობის 2016 წლის 28 იანვრის №41 დადგენილება „ტექნიკური რეგლამენტის „შენობა-ნაგებობის უსაფრთხოების წესების“ დამტკიცების თაობაზე“;&lt;br&gt;2. საქართველოს მთავრობის 2020 წლის 4 დეკემბრის №732 დადგენილება „ტექნიკური რეგლამენტის — „მისაწვდომობის ეროვნული სტანდარტების“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შენობა-ნაგებობის უსაფრთხოების წესები (თავი 3-დან თავი 21-მდე) და მისაწვდომობის ეროვნული სტანდარტები (თავი 3-დან თავი 11-მდე).</w:t>
            </w:r>
          </w:p>
        </w:tc>
      </w:tr>
    </w:tbl>
    <w:sectPr>
      <w:pgSz w:w="11906" w:h="16838"/>
      <w:pgMar w:top="1134" w:right="1020" w:bottom="1134" w:left="1247" w:header="720" w:footer="720" w:gutter="0"/>
    </w:sectPr>
  </w:body>
</w:document>
</file>