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60"/>
        <w:jc w:val="center"/>
      </w:pPr>
      <w:r>
        <w:rPr>
          <w:rFonts w:ascii="Sylfaen" w:hAnsi="Sylfaen" w:cs="Sylfaen" w:eastAsia="Sylfaen"/>
          <w:b/>
          <w:i w:val="0"/>
          <w:color w:val="000000"/>
          <w:sz w:val="28"/>
        </w:rPr>
        <w:t>გამოცდა</w:t>
      </w:r>
    </w:p>
    <w:p>
      <w:pPr>
        <w:keepNext/>
        <w:spacing w:before="0" w:after="160"/>
        <w:jc w:val="center"/>
      </w:pPr>
      <w:r>
        <w:rPr>
          <w:rFonts w:ascii="Sylfaen" w:hAnsi="Sylfaen" w:cs="Sylfaen" w:eastAsia="Sylfaen"/>
          <w:b/>
          <w:i w:val="0"/>
          <w:color w:val="000000"/>
          <w:sz w:val="23"/>
        </w:rPr>
        <w:t>1. გამოცდის სტრუქტურა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სასერტიფიკაციო გამოცდა ტარდება ელექტრონულად, ინსტიტუტის საგამოცდო ცენტრში და შედგება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სამი ეტაპისგან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(საერთო სუფთა საგამოცდო დრო —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3 საათი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):</w:t>
      </w:r>
    </w:p>
    <w:tbl>
      <w:tblPr>
        <w:tblLook w:firstColumn="1" w:firstRow="1" w:lastColumn="0" w:lastRow="0" w:noHBand="0" w:noVBand="1" w:val="04A0"/>
        <w:tblW w:w="9639" w:type="dxa"/>
        <w:jc w:val="center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left w:w="90" w:type="dxa"/>
          <w:bottom w:w="55" w:type="dxa"/>
          <w:right w:w="90" w:type="dxa"/>
        </w:tblCellMar>
      </w:tblPr>
      <w:tblGrid>
        <w:gridCol w:w="2342"/>
        <w:gridCol w:w="2438"/>
        <w:gridCol w:w="2438"/>
        <w:gridCol w:w="2421"/>
      </w:tblGrid>
      <w:tr>
        <w:trPr>
          <w:cantSplit/>
          <w:tblHeader/>
        </w:trPr>
        <w:tc>
          <w:tcPr>
            <w:tcW w:type="dxa" w:w="2342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თანმიმდევრობა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საგამოცდო ეტაპი / შესვენება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ხანგრძლივობა</w:t>
            </w:r>
          </w:p>
        </w:tc>
        <w:tc>
          <w:tcPr>
            <w:tcW w:type="dxa" w:w="242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ფორმატი</w:t>
            </w:r>
          </w:p>
        </w:tc>
      </w:tr>
      <w:tr>
        <w:trPr>
          <w:cantSplit/>
        </w:trPr>
        <w:tc>
          <w:tcPr>
            <w:tcW w:type="dxa" w:w="2342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ეტაპი I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თეორიული ტესტირება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2 საათი</w:t>
            </w:r>
          </w:p>
        </w:tc>
        <w:tc>
          <w:tcPr>
            <w:tcW w:type="dxa" w:w="242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მინიმუმ 100 დახურული კითხვა (4 სავარაუდო პასუხით)</w:t>
            </w:r>
          </w:p>
        </w:tc>
      </w:tr>
      <w:tr>
        <w:trPr>
          <w:cantSplit/>
        </w:trPr>
        <w:tc>
          <w:tcPr>
            <w:tcW w:type="dxa" w:w="2342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/>
                <w:color w:val="000000"/>
                <w:sz w:val="20"/>
              </w:rPr>
              <w:t>შესვენება 1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/>
                <w:color w:val="000000"/>
                <w:sz w:val="20"/>
              </w:rPr>
              <w:t>ოფიციალური შესვენება I და II ეტაპებს შორის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/>
                <w:color w:val="000000"/>
                <w:sz w:val="20"/>
              </w:rPr>
              <w:t>30 წუთი</w:t>
            </w:r>
          </w:p>
        </w:tc>
        <w:tc>
          <w:tcPr>
            <w:tcW w:type="dxa" w:w="242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/>
                <w:color w:val="000000"/>
                <w:sz w:val="20"/>
              </w:rPr>
              <w:t>სუფთა საგამოცდო დროში არ ითვლება</w:t>
            </w:r>
          </w:p>
        </w:tc>
      </w:tr>
      <w:tr>
        <w:trPr>
          <w:cantSplit/>
        </w:trPr>
        <w:tc>
          <w:tcPr>
            <w:tcW w:type="dxa" w:w="2342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ეტაპი II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პრაქტიკული დავალება — მრავალბინიანი, მრავალსართულიანი საცხოვრებელი სახლის არქიტექტურული პროექტის შეფასება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30 წუთი</w:t>
            </w:r>
          </w:p>
        </w:tc>
        <w:tc>
          <w:tcPr>
            <w:tcW w:type="dxa" w:w="242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არქიტექტურული პროექტის ანალიზი და ხარვეზების იდენტიფიცირება</w:t>
            </w:r>
          </w:p>
        </w:tc>
      </w:tr>
      <w:tr>
        <w:trPr>
          <w:cantSplit/>
        </w:trPr>
        <w:tc>
          <w:tcPr>
            <w:tcW w:type="dxa" w:w="2342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/>
                <w:color w:val="000000"/>
                <w:sz w:val="20"/>
              </w:rPr>
              <w:t>შესვენება 2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/>
                <w:color w:val="000000"/>
                <w:sz w:val="20"/>
              </w:rPr>
              <w:t>ოფიციალური შესვენება II და III ეტაპებს შორის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/>
                <w:color w:val="000000"/>
                <w:sz w:val="20"/>
              </w:rPr>
              <w:t>15 წუთი</w:t>
            </w:r>
          </w:p>
        </w:tc>
        <w:tc>
          <w:tcPr>
            <w:tcW w:type="dxa" w:w="242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/>
                <w:color w:val="000000"/>
                <w:sz w:val="20"/>
              </w:rPr>
              <w:t>სუფთა საგამოცდო დროში არ ითვლება</w:t>
            </w:r>
          </w:p>
        </w:tc>
      </w:tr>
      <w:tr>
        <w:trPr>
          <w:cantSplit/>
        </w:trPr>
        <w:tc>
          <w:tcPr>
            <w:tcW w:type="dxa" w:w="2342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ეტაპი III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პრაქტიკული დავალება — საჯარო ან საზოგადოებრივი დანიშნულების შენობის არქიტექტურული პროექტის შეფასება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30 წუთი</w:t>
            </w:r>
          </w:p>
        </w:tc>
        <w:tc>
          <w:tcPr>
            <w:tcW w:type="dxa" w:w="242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არქიტექტურული პროექტის ანალიზი და ხარვეზების იდენტიფიცირება</w:t>
            </w:r>
          </w:p>
        </w:tc>
      </w:tr>
    </w:tbl>
    <w:p>
      <w:pPr>
        <w:keepNext/>
        <w:spacing w:before="240" w:after="80"/>
        <w:jc w:val="left"/>
        <w:pBdr>
          <w:bottom w:val="single" w:sz="4" w:space="2" w:color="000000"/>
        </w:pBdr>
      </w:pPr>
      <w:r>
        <w:rPr>
          <w:rFonts w:ascii="Sylfaen" w:hAnsi="Sylfaen" w:cs="Sylfaen" w:eastAsia="Sylfaen"/>
          <w:b/>
          <w:i w:val="0"/>
          <w:color w:val="000000"/>
          <w:sz w:val="24"/>
        </w:rPr>
        <w:t>2. თეორიული ტესტირება (ეტაპი I)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თეორიული ტესტირება ტარდება კომპიუტერულ ფორმატში და მოიცავს სულ მცირე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100 დახურულ კითხვას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, რომლებიც საქართველოს მთავრობის №134 დადგენილების დანართი №1-ის შესაბამისად ნაწილდება 4 თემატურ ბლოკად: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1.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სანებართვო კანონმდებლობა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მინიმუმ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20 კითხვა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2.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სამშენებლო ტექნოლოგიები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მინიმუმ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11 კითხვა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3.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პროფესიული პრაქტიკა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მინიმუმ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4 კითხვა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4.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პროექტირება (უსაფრთხოების წესები და მისაწვდომობის სტანდარტები)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მინიმუმ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65 კითხვა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.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/>
          <w:i w:val="0"/>
          <w:color w:val="000000"/>
          <w:sz w:val="21"/>
        </w:rPr>
        <w:t>ტესტირების პრინციპები: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ა) თითოეულ კითხვას ახლავს 4 სავარაუდო პასუხი, რომელთაგან სწორია ერთი (ან კითხვის პირობით პირდაპირ მითითებული რაოდენობის) პასუხი; ყველა ზომა და პარამეტრი მოცემულია ერთეულთა საერთაშორისო სისტემაში (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SI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);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ბ) კითხვები საგამოცდო სისტემაში გენერირდება შემთხვევითობის პრინციპით, თემატური თავებისა და ქვეთავების მიხედვით;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გ) შეფასება ხორციელდება ავტომატიზებულად, საგამოცდო სისტემაში წინასწარ განსაზღვრული სწორი პასუხების მიხედვით.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თეორიული ტესტირება ჩაბარებულად ითვლება მხოლოდ იმ შემთხვევაში, თუ კანდიდატი დადგენილ გამსვლელ ბარიერს გადალახავს ტესტში შემავალ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თითოეულ თავში/ქვეთავში დამოუკიდებლად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. საერთო ჯამური მაღალი ქულა ვერ აბათილებს რომელიმე ცალკეულ თავში/ქვეთავში ბარიერზე დაბალ შედეგს.</w:t>
      </w:r>
    </w:p>
    <w:p>
      <w:pPr>
        <w:keepNext/>
        <w:spacing w:before="240" w:after="80"/>
        <w:jc w:val="left"/>
        <w:pBdr>
          <w:bottom w:val="single" w:sz="4" w:space="2" w:color="000000"/>
        </w:pBdr>
      </w:pPr>
      <w:r>
        <w:rPr>
          <w:rFonts w:ascii="Sylfaen" w:hAnsi="Sylfaen" w:cs="Sylfaen" w:eastAsia="Sylfaen"/>
          <w:b/>
          <w:i w:val="0"/>
          <w:color w:val="000000"/>
          <w:sz w:val="24"/>
        </w:rPr>
        <w:t>3. პრაქტიკული დავალებები (ეტაპები II და III)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პრაქტიკული დავალებები სრულდება ელექტრონულად. კანდიდატს ეკრანზე წარედგინება ორი დამოუკიდებელი არქიტექტურული პროექტი (ეტაპი II — მრავალბინიანი, მრავალსართულიანი საცხოვრებელი სახლის არქიტექტურული პროექტი; ეტაპი III — საჯარო ან საზოგადოებრივი დანიშნულების შენობის არქიტექტურული პროექტი), რომლებშიც განზრახ არის დაშვებული ნორმატიული და ტექნიკური ხარვეზები.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№134 დადგენილების დანართი №1-ის შესაბამისად, თითოეული საგამოცდო პროექტი მინიმუმ მოიცავს შემდეგ ნაწილებს: 1) მიწის ნაკვეთის გეგმა; 2) გეგმები, ჭრილები, ფასადები; 3) დეტალები.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პროექტებში დაშვებული ხარვეზები უკავშირდება: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ა) შენობა-ნაგებობის უსაფრთხოების წესებთან (№41 დადგენილება) შეუსაბამობას;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ბ) მისაწვდომობის ეროვნულ სტანდარტებთან (№732 დადგენილება) შეუსაბამობას;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გ) ტერიტორიების გამოყენებისა და განაშენიანების რეგულირებისა და მშენებლობის ნებართვის წესებთან (№261 და №255 დადგენილებები) შეუსაბამობას;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დ) გეომეტრიულ, გეგმარებით ან სხვა ტექნიკურ შეუსაბამობას.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კანდიდატი აანალიზებს წარმოდგენილ ნახაზებს და სავარაუდო შეუსაბამობების ჩამონათვალიდან მონიშნავს პროექტში რეალურად არსებულ ხარვეზებს.</w:t>
      </w:r>
    </w:p>
    <w:p>
      <w:pPr>
        <w:keepNext/>
        <w:spacing w:before="240" w:after="80"/>
        <w:jc w:val="left"/>
        <w:pBdr>
          <w:bottom w:val="single" w:sz="4" w:space="2" w:color="000000"/>
        </w:pBdr>
      </w:pPr>
      <w:r>
        <w:rPr>
          <w:rFonts w:ascii="Sylfaen" w:hAnsi="Sylfaen" w:cs="Sylfaen" w:eastAsia="Sylfaen"/>
          <w:b/>
          <w:i w:val="0"/>
          <w:color w:val="000000"/>
          <w:sz w:val="24"/>
        </w:rPr>
        <w:t>4. ჩაბარების ბარიერები</w:t>
      </w:r>
    </w:p>
    <w:tbl>
      <w:tblPr>
        <w:tblLook w:firstColumn="1" w:firstRow="1" w:lastColumn="0" w:lastRow="0" w:noHBand="0" w:noVBand="1" w:val="04A0"/>
        <w:tblW w:w="9639" w:type="dxa"/>
        <w:jc w:val="center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left w:w="90" w:type="dxa"/>
          <w:bottom w:w="55" w:type="dxa"/>
          <w:right w:w="90" w:type="dxa"/>
        </w:tblCellMar>
      </w:tblPr>
      <w:tblGrid>
        <w:gridCol w:w="2342"/>
        <w:gridCol w:w="2438"/>
        <w:gridCol w:w="2438"/>
        <w:gridCol w:w="2421"/>
      </w:tblGrid>
      <w:tr>
        <w:trPr>
          <w:cantSplit/>
          <w:tblHeader/>
        </w:trPr>
        <w:tc>
          <w:tcPr>
            <w:tcW w:type="dxa" w:w="2342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კატეგორია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ეტაპი I — თეორიული ტესტირება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ეტაპები II და III — თითოეული პროექტი</w:t>
            </w:r>
          </w:p>
        </w:tc>
        <w:tc>
          <w:tcPr>
            <w:tcW w:type="dxa" w:w="242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დასაშვები ზედმეტი/არასწორი მონიშვნა თითოეულ პროექტზე</w:t>
            </w:r>
          </w:p>
        </w:tc>
      </w:tr>
      <w:tr>
        <w:trPr>
          <w:cantSplit/>
        </w:trPr>
        <w:tc>
          <w:tcPr>
            <w:tcW w:type="dxa" w:w="2342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A — არქიტექტორი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 xml:space="preserve">მინიმუმ </w:t>
            </w: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70%</w:t>
            </w: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 xml:space="preserve"> თითოეულ თავში/ქვეთავში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 xml:space="preserve">დაშვებული ხარვეზების მინიმუმ </w:t>
            </w: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70%-ის</w:t>
            </w: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 xml:space="preserve"> პოვნა</w:t>
            </w:r>
          </w:p>
        </w:tc>
        <w:tc>
          <w:tcPr>
            <w:tcW w:type="dxa" w:w="242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 xml:space="preserve">არაუმეტეს </w:t>
            </w: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342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B — სპეციალისტი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 xml:space="preserve">მინიმუმ </w:t>
            </w: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75%</w:t>
            </w: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 xml:space="preserve"> თითოეულ თავში/ქვეთავში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 xml:space="preserve">დაშვებული ხარვეზების მინიმუმ </w:t>
            </w: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75%-ის</w:t>
            </w: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 xml:space="preserve"> პოვნა</w:t>
            </w:r>
          </w:p>
        </w:tc>
        <w:tc>
          <w:tcPr>
            <w:tcW w:type="dxa" w:w="242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 xml:space="preserve">არაუმეტეს </w:t>
            </w: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342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C — ექსპერტი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 xml:space="preserve">მინიმუმ </w:t>
            </w: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75%</w:t>
            </w: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 xml:space="preserve"> თითოეულ თავში/ქვეთავში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 xml:space="preserve">დაშვებული ხარვეზების მინიმუმ </w:t>
            </w: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75%-ის</w:t>
            </w: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 xml:space="preserve"> პოვნა</w:t>
            </w:r>
          </w:p>
        </w:tc>
        <w:tc>
          <w:tcPr>
            <w:tcW w:type="dxa" w:w="242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 xml:space="preserve">არაუმეტეს </w:t>
            </w: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/>
          <w:i w:val="0"/>
          <w:color w:val="000000"/>
          <w:sz w:val="21"/>
        </w:rPr>
        <w:t>შეფასების წესი: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–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ზედმეტი/არასწორი ხარვეზი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არის კანდიდატის საბოლოო პასუხში მონიშნული ისეთი სავარაუდო შეუსაბამობა, რომელიც მოცემულ პროექტში რეალურად არ არსებობს. A კატეგორიისთვის რომელიმე პროექტში 3 ან მეტი, ხოლო B და C კატეგორიებისთვის 2 ან მეტი ზედმეტი/არასწორი ხარვეზის მონიშვნა იწვევს შესაბამისი კატეგორიის ბარიერის ვერგადალახვას;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– გამოცდის დღეს კანდიდატი თანმიმდევრულად გადის გამოცდის სამივე ეტაპს: I ან II ეტაპზე გამსვლელი ბარიერის ვერგადალახვა არ ზღუდავს კანდიდატს იმავე საგამოცდო სესიაზე მომდევნო ეტაპ(ებ)ის დავალებაზე მუშაობაში, ხოლო განმეორებით გამოცდაზე გასვლისას ცალკეული ეტაპის შედეგი არ ინახება — კანდიდატი ხელახლა აბარებს სრულ გამოცდას (სამივე ეტაპს თავიდან);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– თუ კანდიდატი მიიჩნევს, რომ მის მიერ მონიშნული პუნქტი პროექტში რეალურად არსებულ ნორმატიულ ხარვეზს ასახავს, მას უფლება აქვს მოითხოვოს შედეგის გადასინჯვა აპელაციის წესით;</w:t>
      </w:r>
    </w:p>
    <w:p>
      <w:pPr>
        <w:spacing w:before="0" w:after="5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– თუ B ან C კატეგორიაზე დარეგისტრირებული კანდიდატის საგამოცდო შედეგი სრულად აკმაყოფილებს არჩეული პრიორიტეტული კატეგორიის ბარიერს (≥75%, არაუმეტეს 1 ზედმეტი/არასწორი ხარვეზის მონიშვნით), მას ენიჭება განაცხადში მითითებული B ან C კატეგორია; ხოლო თუ მან ვერ გადალახა 75%-იანი ბარიერი, მაგრამ სამივე ეტაპზე დააკმაყოფილა A კატეგორიის ზღვარი (70%–74.99%, არაუმეტეს 2 ზედმეტი/არასწორი ხარვეზის მონიშვნით), განაცხადის ფორმაში (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GIPC-FRM-001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) წინასწარ დაფიქსირებული თანხმობის საფუძველზე მას ენიჭება A კატეგორიის სერტიფიკატი.</w:t>
      </w:r>
    </w:p>
    <w:p>
      <w:pPr>
        <w:keepNext/>
        <w:spacing w:before="240" w:after="80"/>
        <w:jc w:val="left"/>
        <w:pBdr>
          <w:bottom w:val="single" w:sz="4" w:space="2" w:color="000000"/>
        </w:pBdr>
      </w:pPr>
      <w:r>
        <w:rPr>
          <w:rFonts w:ascii="Sylfaen" w:hAnsi="Sylfaen" w:cs="Sylfaen" w:eastAsia="Sylfaen"/>
          <w:b/>
          <w:i w:val="0"/>
          <w:color w:val="000000"/>
          <w:sz w:val="24"/>
        </w:rPr>
        <w:t>5. საგამოცდო პირობები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1.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უსაფრთხო გარემო და მონიტორინგი: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გამოცდა მიმდინარეობს საგამოცდო ზედამხედველის დასწრებით, ჩაკეტილ პროგრამულ გარემოში (Lockdown რეჟიმი). საგამოცდო ფანჯრიდან გამოსვლის მცდელობისას ირთვება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10-წამიანი უკუთვლა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— თუ კანდიდატი 10 წამში არ დაბრუნდება საგამოცდო ფანჯარაში, გამოცდა ავტომატურად წყდება. თითოეული საგამოცდო კომპიუტერის მონიტორი აღჭურვილია ვებკამერით და საგამოცდო დარბაზში განთავსებულია სამეთვალყურეო ვიდეოკამერები — სესიის განმავლობაში ხორციელდება სამუშაო ეკრანისა და საგამოცდო პროცესის უწყვეტი ვიდეო- და აუდიოჩაწერა, რის შესახებაც კანდიდატი წინასწარ არის ინფორმირებული;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2.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აკრძალული ნივთები და ქცევის წესი: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საგამოცდო ოთახში აკრძალულია მობილური ტელეფონის, ჭკვიანი საათის, ნებისმიერი ელექტრონული მოწყობილობის ან გარე მატერიალური/ელექტრონული დამხმარე მასალის შეტანა და გამოყენება, აგრეთვე კანდიდატებს შორის საუბარი ან კარნახი. საგამოცდო ეტაპის მსვლელობისას აუდიტორიიდან დროებით გასვლის (ზედამხედველის წინასწარი ინფორმირებით) შემთხვევაში საგამოცდო დრო და ჩაწერა არ ჩერდება;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3.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გამოცხადება და სესიის გადატანა: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კანდიდატი ვალდებულია გამოცხადდეს საგამოცდო ცენტრში გამოცდის დაწყებამდე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30 წუთით ადრე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პირადობის დამადასტურებელი მოქმედი დოკუმენტით. თუ კანდიდატი გამოცხადდება რეგისტრაციისთვის განსაზღვრული დროის შემდეგ, მაგრამ გამოცდის დაწყების დადგენილ დრომდე, იგი გამოცდაზე დაიშვება იმ შემთხვევაში, თუ დარჩენილი დრო საკმარისია იდენტიფიცირებისა და საგამოცდო ხელშეკრულების (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GIPC-CON-004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) ხელმოწერისთვის სესიის დაწყების შეფერხების გარეშე; გამოცდის დაწყების დადგენილი დროის შემდეგ გამოცხადებული კანდიდატი გამოცდაზე არ დაიშვება (გადახდილი 350 ლარი არ ბრუნდება). კანდიდატს უფლება აქვს თითოეული გადახდილი მცდელობის ფარგლებში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ერთჯერადად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მოითხოვოს საგამოცდო სესიის თარიღის გადატანა დამატებითი საფასურის გარეშე, თუ წერილობით (ელექტრონულად) მიმართავს ინსტიტუტს გამოცდამდე არანაკლებ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3 სამუშაო დღით ადრე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, ხოლო ავადმყოფობის ან ფორსმაჟორის შემთხვევაში — თუ ოფიციალურ ცნობას წარადგენს გამოცდის დღიდან არაუგვიანეს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5 სამუშაო დღისა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;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4.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საცნობარო ნორმატიული მასალა: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 xml:space="preserve"> საგამოცდო პლატფორმაში საცნობარო ნორმატიული მასალის განთავსების შემთხვევაში, კანდიდატს მასზე წვდომა ეძლევა უშუალოდ საგამოცდო პროგრამის ფანჯარაში (დოკუმენტების დათვალიერებისა და სარჩევით, თავებითა და მუხლებით ნავიგაციის რეჟიმში; ტექსტში ავტომატური ძებნა — </w:t>
      </w:r>
      <w:r>
        <w:rPr>
          <w:rFonts w:ascii="Sylfaen" w:hAnsi="Sylfaen" w:cs="Sylfaen" w:eastAsia="Sylfaen"/>
          <w:b/>
          <w:i w:val="0"/>
          <w:color w:val="000000"/>
          <w:sz w:val="21"/>
        </w:rPr>
        <w:t>Ctrl+F</w:t>
      </w:r>
      <w:r>
        <w:rPr>
          <w:rFonts w:ascii="Sylfaen" w:hAnsi="Sylfaen" w:cs="Sylfaen" w:eastAsia="Sylfaen"/>
          <w:b w:val="0"/>
          <w:i w:val="0"/>
          <w:color w:val="000000"/>
          <w:sz w:val="21"/>
        </w:rPr>
        <w:t>, კოპირება და ბეჭდვა გამორთულია, ხოლო საჭირო ნორმატიულ წყაროს კანდიდატი თავად ირჩევს).</w:t>
      </w:r>
    </w:p>
    <w:p>
      <w:pPr>
        <w:keepNext/>
        <w:spacing w:before="240" w:after="80"/>
        <w:jc w:val="left"/>
        <w:pBdr>
          <w:bottom w:val="single" w:sz="4" w:space="2" w:color="000000"/>
        </w:pBdr>
      </w:pPr>
      <w:r>
        <w:rPr>
          <w:rFonts w:ascii="Sylfaen" w:hAnsi="Sylfaen" w:cs="Sylfaen" w:eastAsia="Sylfaen"/>
          <w:b/>
          <w:i w:val="0"/>
          <w:color w:val="000000"/>
          <w:sz w:val="24"/>
        </w:rPr>
        <w:t>6. ჩასაბარებელი ნორმებისა და თემატიკის ჩამონათვალი</w:t>
      </w:r>
    </w:p>
    <w:p>
      <w:pPr>
        <w:spacing w:before="0" w:after="60" w:line="276" w:lineRule="auto"/>
        <w:jc w:val="both"/>
      </w:pPr>
      <w:r>
        <w:rPr>
          <w:rFonts w:ascii="Sylfaen" w:hAnsi="Sylfaen" w:cs="Sylfaen" w:eastAsia="Sylfaen"/>
          <w:b w:val="0"/>
          <w:i w:val="0"/>
          <w:color w:val="000000"/>
          <w:sz w:val="21"/>
        </w:rPr>
        <w:t>სასერტიფიკაციო გამოცდის თემატიკა ეფუძნება საქართველოს მთავრობის №134 დადგენილების დანართი №1-ით განსაზღვრულ შემდეგ 10 ნორმატიულ აქტსა და თემატურ მიმართულებებს:</w:t>
      </w:r>
    </w:p>
    <w:tbl>
      <w:tblPr>
        <w:tblLook w:firstColumn="1" w:firstRow="1" w:lastColumn="0" w:lastRow="0" w:noHBand="0" w:noVBand="1" w:val="04A0"/>
        <w:tblW w:w="9639" w:type="dxa"/>
        <w:jc w:val="center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left w:w="90" w:type="dxa"/>
          <w:bottom w:w="55" w:type="dxa"/>
          <w:right w:w="90" w:type="dxa"/>
        </w:tblCellMar>
      </w:tblPr>
      <w:tblGrid>
        <w:gridCol w:w="480"/>
        <w:gridCol w:w="2645"/>
        <w:gridCol w:w="3273"/>
        <w:gridCol w:w="3241"/>
      </w:tblGrid>
      <w:tr>
        <w:trPr>
          <w:cantSplit/>
          <w:tblHeader/>
        </w:trPr>
        <w:tc>
          <w:tcPr>
            <w:tcW w:type="dxa" w:w="480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264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დისციპლინა / თემა</w:t>
            </w:r>
          </w:p>
        </w:tc>
        <w:tc>
          <w:tcPr>
            <w:tcW w:type="dxa" w:w="3273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ნორმატიული აქტი / ქვეთემა</w:t>
            </w:r>
          </w:p>
        </w:tc>
        <w:tc>
          <w:tcPr>
            <w:tcW w:type="dxa" w:w="324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/>
                <w:i w:val="0"/>
                <w:color w:val="000000"/>
                <w:sz w:val="20"/>
              </w:rPr>
              <w:t>შესაბამისი კონტექსტი</w:t>
            </w:r>
          </w:p>
        </w:tc>
      </w:tr>
      <w:tr>
        <w:trPr>
          <w:cantSplit/>
        </w:trPr>
        <w:tc>
          <w:tcPr>
            <w:tcW w:type="dxa" w:w="480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64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სანებართვო კანონმდებლობა</w:t>
            </w:r>
          </w:p>
        </w:tc>
        <w:tc>
          <w:tcPr>
            <w:tcW w:type="dxa" w:w="3273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საქართველოს მთავრობის 2019 წლის 31 მაისის №255 დადგენილება „მშენებლობის ნებართვის გაცემისა და შენობა-ნაგებობის ექსპლუატაციაში მიღების წესისა და პირობების შესახებ“</w:t>
            </w:r>
          </w:p>
        </w:tc>
        <w:tc>
          <w:tcPr>
            <w:tcW w:type="dxa" w:w="324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მშენებლობის ნებართვის მიღების წესები სხვადასხვა კლასის შენობა-ნაგებობისთვის; სანებართვო დოკუმენტაციის სახეები და მინიმალური მოთხოვნები მათდამი.</w:t>
            </w:r>
          </w:p>
        </w:tc>
      </w:tr>
      <w:tr>
        <w:trPr>
          <w:cantSplit/>
        </w:trPr>
        <w:tc>
          <w:tcPr>
            <w:tcW w:type="dxa" w:w="480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64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სანებართვო კანონმდებლობა</w:t>
            </w:r>
          </w:p>
        </w:tc>
        <w:tc>
          <w:tcPr>
            <w:tcW w:type="dxa" w:w="3273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საქართველოს მთავრობის 2019 წლის 3 ივნისის №261 დადგენილება „ტერიტორიების გამოყენების და განაშენიანების რეგულირების ძირითადი დებულებების შესახებ“</w:t>
            </w:r>
          </w:p>
        </w:tc>
        <w:tc>
          <w:tcPr>
            <w:tcW w:type="dxa" w:w="324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ფუნქციური ზონირება, განაშენიანების რეგულირების კოეფიციენტები, მიწის ნაკვეთის სამშენებლოდ გამოყენების პირობები და მიჯნის ზონის მოთხოვნები.</w:t>
            </w:r>
          </w:p>
        </w:tc>
      </w:tr>
      <w:tr>
        <w:trPr>
          <w:cantSplit/>
        </w:trPr>
        <w:tc>
          <w:tcPr>
            <w:tcW w:type="dxa" w:w="480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64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სანებართვო კანონმდებლობა</w:t>
            </w:r>
          </w:p>
        </w:tc>
        <w:tc>
          <w:tcPr>
            <w:tcW w:type="dxa" w:w="3273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საქართველოს მთავრობის 2024 წლის 10 აპრილის №134 დადგენილება „არქიტექტორებისა და ინჟინერ-მშენებლების სერტიფიცირების წესის შესახებ“</w:t>
            </w:r>
          </w:p>
        </w:tc>
        <w:tc>
          <w:tcPr>
            <w:tcW w:type="dxa" w:w="324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სავალდებულო სერტიფიცირების წესი, კატეგორიები, სერტიფიკატის გაცემის, მოქმედების, შეჩერების, გაუქმებისა და რესერტიფიცირების სამართლებრივი მოთხოვნები.</w:t>
            </w:r>
          </w:p>
        </w:tc>
      </w:tr>
      <w:tr>
        <w:trPr>
          <w:cantSplit/>
        </w:trPr>
        <w:tc>
          <w:tcPr>
            <w:tcW w:type="dxa" w:w="480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64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სამშენებლო ტექნოლოგიები (2.1 — სტრუქტურული სისტემები)</w:t>
            </w:r>
          </w:p>
        </w:tc>
        <w:tc>
          <w:tcPr>
            <w:tcW w:type="dxa" w:w="3273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ზოგადი პროფესიული საკითხები</w:t>
            </w:r>
          </w:p>
        </w:tc>
        <w:tc>
          <w:tcPr>
            <w:tcW w:type="dxa" w:w="324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ზოგადი პრინციპები შენობების მზიდი კონსტრუქციების, კონსტრუქციული ელემენტების (საძირკვლების, კარკასის, გადახურვის სისტემები) ტიპების შერჩევისთვის და მზიდი ელემენტების ოპტიმალური გადაწყვეტის პრინციპები.</w:t>
            </w:r>
          </w:p>
        </w:tc>
      </w:tr>
      <w:tr>
        <w:trPr>
          <w:cantSplit/>
        </w:trPr>
        <w:tc>
          <w:tcPr>
            <w:tcW w:type="dxa" w:w="480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64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სამშენებლო ტექნოლოგიები (2.2 — გარემო)</w:t>
            </w:r>
          </w:p>
        </w:tc>
        <w:tc>
          <w:tcPr>
            <w:tcW w:type="dxa" w:w="3273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1. საქართველოს 2020 წლის 21 მაისის კანონი „ენერგოეფექტურობის შესახებ“;&lt;br&gt;2. საქართველოს მთავრობის 2021 წლის 13 ივლისის №354 დადგენილება „შენობების, შენობების ნაწილების ან შენობების ელემენტების ენერგოეფექტურობის მინიმალური მოთხოვნების დამტკიცების შესახებ“</w:t>
            </w:r>
          </w:p>
        </w:tc>
        <w:tc>
          <w:tcPr>
            <w:tcW w:type="dxa" w:w="324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ნაგებობების გარემოს და მიკროკლიმატის კონტროლი ადამიანთა კომფორტის და შენობის დანიშნულების შესაბამისად (კონდიცირება, ენერგოეფექტურობა, ენერგიის გადაცემა და განაწილება, აქტიური და პასიური გათბობა/გაგრილების სისტემები, ბუნებრივი და ხელოვნური განათება, ბუნებრივი გაგრილება, ჰაერის ხარისხის კონტროლი, მზის ენერგიის გამოყენება და სხვ.).</w:t>
            </w:r>
          </w:p>
        </w:tc>
      </w:tr>
      <w:tr>
        <w:trPr>
          <w:cantSplit/>
        </w:trPr>
        <w:tc>
          <w:tcPr>
            <w:tcW w:type="dxa" w:w="480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64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სამშენებლო ტექნოლოგიები (2.3 — სამშენებლო მასალები და ტექნოლოგიები)</w:t>
            </w:r>
          </w:p>
        </w:tc>
        <w:tc>
          <w:tcPr>
            <w:tcW w:type="dxa" w:w="3273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ზოგადი პროფესიული საკითხები</w:t>
            </w:r>
          </w:p>
        </w:tc>
        <w:tc>
          <w:tcPr>
            <w:tcW w:type="dxa" w:w="324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სამშენებლო და მოსაპირკეთებელი მასალების ზოგადი თვისებები, გამოყენების არეალი; ინტერიერში და ექსტერიერში გამოსაყენებელი მასალების თვისებები, მათი ოპტიმალური შერჩევა და ზემოქმედება შიგა და გარე გარემოზე.</w:t>
            </w:r>
          </w:p>
        </w:tc>
      </w:tr>
      <w:tr>
        <w:trPr>
          <w:cantSplit/>
        </w:trPr>
        <w:tc>
          <w:tcPr>
            <w:tcW w:type="dxa" w:w="480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64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სამშენებლო ტექნოლოგიები (2.4 — საინჟინრო სისტემები)</w:t>
            </w:r>
          </w:p>
        </w:tc>
        <w:tc>
          <w:tcPr>
            <w:tcW w:type="dxa" w:w="3273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ზოგადი პროფესიული საკითხები</w:t>
            </w:r>
          </w:p>
        </w:tc>
        <w:tc>
          <w:tcPr>
            <w:tcW w:type="dxa" w:w="324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ზოგადი ცოდნა წყალგაყვანილობის, კანალიზაციის, ელექტრო, კომუნიკაციის, ვერტიკალური ტრანსპორტის, დაცვის (მათ შორის, სახანძრო), საკონტროლო და სასიგნალო სისტემების გამოყენებაზე შენობებში.</w:t>
            </w:r>
          </w:p>
        </w:tc>
      </w:tr>
      <w:tr>
        <w:trPr>
          <w:cantSplit/>
        </w:trPr>
        <w:tc>
          <w:tcPr>
            <w:tcW w:type="dxa" w:w="480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64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სამშენებლო ტექნოლოგიები (2.5 — შენობის ღირებულების შეფასება)</w:t>
            </w:r>
          </w:p>
        </w:tc>
        <w:tc>
          <w:tcPr>
            <w:tcW w:type="dxa" w:w="3273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საქართველოს მთავრობის 2026 წლის 1 ივნისის დადგენილება №241 „ტექნიკური რეგლამენტის − სამშენებლო სამუშაოების სახელმწიფო შესყიდვისას ზედნადები ხარჯების, გეგმური მოგებისა და სხვა დანარიცხების განსაზღვრის წესის დამტკიცების შესახებ“</w:t>
            </w:r>
          </w:p>
        </w:tc>
        <w:tc>
          <w:tcPr>
            <w:tcW w:type="dxa" w:w="324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ზოგადი საკითხები შენობის და მშენებლობის ღირებულების დადგენის პრინციპების შესახებ და მათზე მოქმედი ფაქტორების ანალიზის უნარი.</w:t>
            </w:r>
          </w:p>
        </w:tc>
      </w:tr>
      <w:tr>
        <w:trPr>
          <w:cantSplit/>
        </w:trPr>
        <w:tc>
          <w:tcPr>
            <w:tcW w:type="dxa" w:w="480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64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პროფესიული პრაქტიკა</w:t>
            </w:r>
          </w:p>
        </w:tc>
        <w:tc>
          <w:tcPr>
            <w:tcW w:type="dxa" w:w="3273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1. საქართველოს 1998 წლის 14 აპრილის კანონი „არქიტექტურული საქმიანობის შესახებ“;&lt;br&gt;2. საქართველოს 2018 წლის 20 ივლისის კანონი „საქართველოს სივრცის დაგეგმარების, არქიტექტურული და სამშენებლო საქმიანობის კოდექსი“</w:t>
            </w:r>
          </w:p>
        </w:tc>
        <w:tc>
          <w:tcPr>
            <w:tcW w:type="dxa" w:w="324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არქიტექტურული საქმიანობის სამართლებრივი საფუძვლები, არქიტექტორის უფლება-მოვალეობები, სივრცის დაგეგმარებისა და სამშენებლო საქმიანობის ერთიანი სამართლებრივი ჩარჩო და პასუხისმგებლობა.</w:t>
            </w:r>
          </w:p>
        </w:tc>
      </w:tr>
      <w:tr>
        <w:trPr>
          <w:cantSplit/>
        </w:trPr>
        <w:tc>
          <w:tcPr>
            <w:tcW w:type="dxa" w:w="480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64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პროექტირება</w:t>
            </w:r>
          </w:p>
        </w:tc>
        <w:tc>
          <w:tcPr>
            <w:tcW w:type="dxa" w:w="3273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1. საქართველოს მთავრობის 2016 წლის 28 იანვრის №41 დადგენილება „ტექნიკური რეგლამენტის „შენობა-ნაგებობის უსაფრთხოების წესების“ დამტკიცების თაობაზე“;&lt;br&gt;2. საქართველოს მთავრობის 2020 წლის 4 დეკემბრის №732 დადგენილება „ტექნიკური რეგლამენტის — „მისაწვდომობის ეროვნული სტანდარტების“ დამტკიცების თაობაზე“</w:t>
            </w:r>
          </w:p>
        </w:tc>
        <w:tc>
          <w:tcPr>
            <w:tcW w:type="dxa" w:w="324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Sylfaen" w:hAnsi="Sylfaen" w:cs="Sylfaen" w:eastAsia="Sylfaen"/>
                <w:b w:val="0"/>
                <w:i w:val="0"/>
                <w:color w:val="000000"/>
                <w:sz w:val="20"/>
              </w:rPr>
              <w:t>შენობა-ნაგებობის უსაფრთხოების წესები (თავი 3-დან თავი 21-მდე) და მისაწვდომობის ეროვნული სტანდარტები (თავი 3-დან თავი 11-მდე).</w:t>
            </w:r>
          </w:p>
        </w:tc>
      </w:tr>
    </w:tbl>
    <w:sectPr>
      <w:pgSz w:w="11906" w:h="16838"/>
      <w:pgMar w:top="1134" w:right="1020" w:bottom="1134" w:left="1247" w:header="720" w:footer="720" w:gutter="0"/>
    </w:sectPr>
  </w:body>
</w:document>
</file>