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C: არქიტექტურული პროექტის ექსპერტი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GIPC-CON-003</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იურიდიული მისამართი: საქართველო, თბილისი, საბურთალოს რაიონი, იოსებიძის ქუჩა, №69, ბინა №28</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„ექსპერტი“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ექსპერტის (კატეგორია C)</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ექსპერტზე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ექსპერტის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C კატეგორიის სერტიფიკატი ექსპერტს ანიჭებს უფლებამოსილებას:</w:t>
      </w:r>
    </w:p>
    <w:p>
      <w:pPr>
        <w:spacing w:before="0" w:after="60" w:line="276" w:lineRule="auto"/>
        <w:jc w:val="both"/>
      </w:pPr>
      <w:r>
        <w:rPr>
          <w:rFonts w:ascii="Sylfaen" w:hAnsi="Sylfaen" w:cs="Sylfaen" w:eastAsia="Sylfaen"/>
          <w:b w:val="0"/>
          <w:i w:val="0"/>
          <w:color w:val="000000"/>
          <w:sz w:val="21"/>
        </w:rPr>
        <w:t>ა) განახორციელოს არქიტექტურული პროექტების ექსპერტიზა, მათ შორის იმუშაოს ექსპერტად მშენებლობის ნებართვის გამცემ ადმინისტრაციულ ორგანოში;</w:t>
      </w:r>
    </w:p>
    <w:p>
      <w:pPr>
        <w:spacing w:before="0" w:after="60" w:line="276" w:lineRule="auto"/>
        <w:jc w:val="both"/>
      </w:pPr>
      <w:r>
        <w:rPr>
          <w:rFonts w:ascii="Sylfaen" w:hAnsi="Sylfaen" w:cs="Sylfaen" w:eastAsia="Sylfaen"/>
          <w:b w:val="0"/>
          <w:i w:val="0"/>
          <w:color w:val="000000"/>
          <w:sz w:val="21"/>
        </w:rPr>
        <w:t>ბ) განახორციელოს შენობა-ნაგებობის პროექტირება და არქიტექტურულ პროექტს ხელი მოაწეროს მთავარი არქიტექტორის სტატუსით, საქართველოს მთავრობის 2024 წლის 10 აპრილის №134 დადგენილებით დამტკიცებული წესის მე-6 მუხლის მე-4 პუნქტისა და საქართველოს მთავრობის 2019 წლის 31 მაისის №255 დადგენილებით დამტკიცებული წესის მე-3 მუხლის მე-7 პუნქტით დადგენილი ინტერესთა კონფლიქტის გამორიცხვის (საკუთარი მონაწილეობით მომზადებული პროექტის ექსპერტიზის დაუშვებლობის) მოთხოვნათა დაცვით.</w:t>
      </w:r>
    </w:p>
    <w:p>
      <w:pPr>
        <w:spacing w:before="0" w:after="60" w:line="276" w:lineRule="auto"/>
        <w:jc w:val="both"/>
      </w:pPr>
      <w:r>
        <w:rPr>
          <w:rFonts w:ascii="Sylfaen" w:hAnsi="Sylfaen" w:cs="Sylfaen" w:eastAsia="Sylfaen"/>
          <w:b w:val="0"/>
          <w:i/>
          <w:color w:val="000000"/>
          <w:sz w:val="21"/>
        </w:rPr>
        <w:t>შენიშვნა: საქართველოს მთავრობის 2024 წლის 10 აპრილის №134 დადგენილებით დამტკიცებული წესის მე-7 მუხლის შესაბამისად, სერტიფიცირების სავალდებულო წესი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spacing w:before="0" w:after="60" w:line="276" w:lineRule="auto"/>
        <w:jc w:val="both"/>
      </w:pPr>
      <w:r>
        <w:rPr>
          <w:rFonts w:ascii="Sylfaen" w:hAnsi="Sylfaen" w:cs="Sylfaen" w:eastAsia="Sylfaen"/>
          <w:b w:val="0"/>
          <w:i w:val="0"/>
          <w:color w:val="000000"/>
          <w:sz w:val="21"/>
        </w:rPr>
        <w:t>3.2. ექსპერტი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C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ექსპერტი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ექსპერტი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ექსპერტის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ექსპერტი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ექსპერტი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C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ექსპერტის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ექსპერტის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ექსპერტს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ექსპერტს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ექსპერტის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ექსპერტი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პროექტზე ხელი მოაწერა სერტიფიცირებულმა პირმა, რომელიც რეალურად არ არის ამ პროექტის მთავარი არქიტექტორი, ან საექსპერტო დასკვნაზე ხელი მოაწერა პირმა, რომელსაც რეალურად არ განუხორციელებია შესაბამისი ექსპერტიზა (ან დაარღვია წინამდებარე ხელშეკრულების §3.1 „ბ“ პუნქტით დადგენილი ინტერესთა კონფლიქტის აკრძალვა);</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ექსპერტს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ექსპერტის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ექსპერტის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ექსპერტს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C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ექსპერტი: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