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54A44" w14:textId="74BD713D" w:rsidR="003C5161" w:rsidRDefault="00103B23" w:rsidP="00103B23">
      <w:pPr>
        <w:pStyle w:val="Heading1"/>
      </w:pPr>
      <w:bookmarkStart w:id="0" w:name="_Toc52606482"/>
      <w:r>
        <w:t>Air Quality Index (AQI) Monitor Design</w:t>
      </w:r>
      <w:bookmarkEnd w:id="0"/>
      <w:r>
        <w:t xml:space="preserve"> </w:t>
      </w:r>
    </w:p>
    <w:p w14:paraId="51765DE7" w14:textId="78B09088" w:rsidR="002F79AB" w:rsidRDefault="002F79AB">
      <w:pPr>
        <w:pStyle w:val="TOC1"/>
        <w:tabs>
          <w:tab w:val="right" w:leader="underscore" w:pos="9350"/>
        </w:tabs>
        <w:rPr>
          <w:rFonts w:eastAsiaTheme="minorEastAsia"/>
          <w:b w:val="0"/>
          <w:bCs w:val="0"/>
          <w:i w:val="0"/>
          <w:iCs w:val="0"/>
          <w:noProof/>
        </w:rPr>
      </w:pPr>
      <w:r>
        <w:fldChar w:fldCharType="begin"/>
      </w:r>
      <w:r>
        <w:instrText xml:space="preserve"> TOC \o "1-3" \h \z \u </w:instrText>
      </w:r>
      <w:r>
        <w:fldChar w:fldCharType="separate"/>
      </w:r>
      <w:hyperlink w:anchor="_Toc52606482" w:history="1">
        <w:r w:rsidRPr="00027658">
          <w:rPr>
            <w:rStyle w:val="Hyperlink"/>
            <w:noProof/>
          </w:rPr>
          <w:t>Air Quality Index (AQI) Monitor Design</w:t>
        </w:r>
        <w:r>
          <w:rPr>
            <w:noProof/>
            <w:webHidden/>
          </w:rPr>
          <w:tab/>
        </w:r>
        <w:r>
          <w:rPr>
            <w:noProof/>
            <w:webHidden/>
          </w:rPr>
          <w:fldChar w:fldCharType="begin"/>
        </w:r>
        <w:r>
          <w:rPr>
            <w:noProof/>
            <w:webHidden/>
          </w:rPr>
          <w:instrText xml:space="preserve"> PAGEREF _Toc52606482 \h </w:instrText>
        </w:r>
        <w:r>
          <w:rPr>
            <w:noProof/>
            <w:webHidden/>
          </w:rPr>
        </w:r>
        <w:r>
          <w:rPr>
            <w:noProof/>
            <w:webHidden/>
          </w:rPr>
          <w:fldChar w:fldCharType="separate"/>
        </w:r>
        <w:r>
          <w:rPr>
            <w:noProof/>
            <w:webHidden/>
          </w:rPr>
          <w:t>1</w:t>
        </w:r>
        <w:r>
          <w:rPr>
            <w:noProof/>
            <w:webHidden/>
          </w:rPr>
          <w:fldChar w:fldCharType="end"/>
        </w:r>
      </w:hyperlink>
    </w:p>
    <w:p w14:paraId="44FD4B06" w14:textId="5361FC8F" w:rsidR="002F79AB" w:rsidRDefault="002F79AB">
      <w:pPr>
        <w:pStyle w:val="TOC2"/>
        <w:tabs>
          <w:tab w:val="right" w:leader="underscore" w:pos="9350"/>
        </w:tabs>
        <w:rPr>
          <w:rFonts w:eastAsiaTheme="minorEastAsia"/>
          <w:b w:val="0"/>
          <w:bCs w:val="0"/>
          <w:noProof/>
          <w:sz w:val="24"/>
          <w:szCs w:val="24"/>
        </w:rPr>
      </w:pPr>
      <w:hyperlink w:anchor="_Toc52606483" w:history="1">
        <w:r w:rsidRPr="00027658">
          <w:rPr>
            <w:rStyle w:val="Hyperlink"/>
            <w:noProof/>
          </w:rPr>
          <w:t>AQI Standards</w:t>
        </w:r>
        <w:r>
          <w:rPr>
            <w:noProof/>
            <w:webHidden/>
          </w:rPr>
          <w:tab/>
        </w:r>
        <w:r>
          <w:rPr>
            <w:noProof/>
            <w:webHidden/>
          </w:rPr>
          <w:fldChar w:fldCharType="begin"/>
        </w:r>
        <w:r>
          <w:rPr>
            <w:noProof/>
            <w:webHidden/>
          </w:rPr>
          <w:instrText xml:space="preserve"> PAGEREF _Toc52606483 \h </w:instrText>
        </w:r>
        <w:r>
          <w:rPr>
            <w:noProof/>
            <w:webHidden/>
          </w:rPr>
        </w:r>
        <w:r>
          <w:rPr>
            <w:noProof/>
            <w:webHidden/>
          </w:rPr>
          <w:fldChar w:fldCharType="separate"/>
        </w:r>
        <w:r>
          <w:rPr>
            <w:noProof/>
            <w:webHidden/>
          </w:rPr>
          <w:t>1</w:t>
        </w:r>
        <w:r>
          <w:rPr>
            <w:noProof/>
            <w:webHidden/>
          </w:rPr>
          <w:fldChar w:fldCharType="end"/>
        </w:r>
      </w:hyperlink>
    </w:p>
    <w:p w14:paraId="4433F26E" w14:textId="644B6339" w:rsidR="002F79AB" w:rsidRDefault="002F79AB">
      <w:pPr>
        <w:pStyle w:val="TOC3"/>
        <w:tabs>
          <w:tab w:val="right" w:leader="underscore" w:pos="9350"/>
        </w:tabs>
        <w:rPr>
          <w:rFonts w:eastAsiaTheme="minorEastAsia"/>
          <w:noProof/>
          <w:sz w:val="24"/>
          <w:szCs w:val="24"/>
        </w:rPr>
      </w:pPr>
      <w:hyperlink w:anchor="_Toc52606484" w:history="1">
        <w:r w:rsidRPr="00027658">
          <w:rPr>
            <w:rStyle w:val="Hyperlink"/>
            <w:noProof/>
          </w:rPr>
          <w:t>Table of AQI Ranges and Color Codes</w:t>
        </w:r>
        <w:r>
          <w:rPr>
            <w:noProof/>
            <w:webHidden/>
          </w:rPr>
          <w:tab/>
        </w:r>
        <w:r>
          <w:rPr>
            <w:noProof/>
            <w:webHidden/>
          </w:rPr>
          <w:fldChar w:fldCharType="begin"/>
        </w:r>
        <w:r>
          <w:rPr>
            <w:noProof/>
            <w:webHidden/>
          </w:rPr>
          <w:instrText xml:space="preserve"> PAGEREF _Toc52606484 \h </w:instrText>
        </w:r>
        <w:r>
          <w:rPr>
            <w:noProof/>
            <w:webHidden/>
          </w:rPr>
        </w:r>
        <w:r>
          <w:rPr>
            <w:noProof/>
            <w:webHidden/>
          </w:rPr>
          <w:fldChar w:fldCharType="separate"/>
        </w:r>
        <w:r>
          <w:rPr>
            <w:noProof/>
            <w:webHidden/>
          </w:rPr>
          <w:t>1</w:t>
        </w:r>
        <w:r>
          <w:rPr>
            <w:noProof/>
            <w:webHidden/>
          </w:rPr>
          <w:fldChar w:fldCharType="end"/>
        </w:r>
      </w:hyperlink>
    </w:p>
    <w:p w14:paraId="17E84A38" w14:textId="398E341E" w:rsidR="002F79AB" w:rsidRDefault="002F79AB">
      <w:pPr>
        <w:pStyle w:val="TOC3"/>
        <w:tabs>
          <w:tab w:val="right" w:leader="underscore" w:pos="9350"/>
        </w:tabs>
        <w:rPr>
          <w:rFonts w:eastAsiaTheme="minorEastAsia"/>
          <w:noProof/>
          <w:sz w:val="24"/>
          <w:szCs w:val="24"/>
        </w:rPr>
      </w:pPr>
      <w:hyperlink w:anchor="_Toc52606485" w:history="1">
        <w:r w:rsidRPr="00027658">
          <w:rPr>
            <w:rStyle w:val="Hyperlink"/>
            <w:noProof/>
          </w:rPr>
          <w:t>Table of AQI Ranges and µg/m</w:t>
        </w:r>
        <w:r w:rsidRPr="00027658">
          <w:rPr>
            <w:rStyle w:val="Hyperlink"/>
            <w:noProof/>
            <w:vertAlign w:val="superscript"/>
          </w:rPr>
          <w:t>3</w:t>
        </w:r>
        <w:r w:rsidRPr="00027658">
          <w:rPr>
            <w:rStyle w:val="Hyperlink"/>
            <w:noProof/>
          </w:rPr>
          <w:t xml:space="preserve"> Measurements</w:t>
        </w:r>
        <w:r>
          <w:rPr>
            <w:noProof/>
            <w:webHidden/>
          </w:rPr>
          <w:tab/>
        </w:r>
        <w:r>
          <w:rPr>
            <w:noProof/>
            <w:webHidden/>
          </w:rPr>
          <w:fldChar w:fldCharType="begin"/>
        </w:r>
        <w:r>
          <w:rPr>
            <w:noProof/>
            <w:webHidden/>
          </w:rPr>
          <w:instrText xml:space="preserve"> PAGEREF _Toc52606485 \h </w:instrText>
        </w:r>
        <w:r>
          <w:rPr>
            <w:noProof/>
            <w:webHidden/>
          </w:rPr>
        </w:r>
        <w:r>
          <w:rPr>
            <w:noProof/>
            <w:webHidden/>
          </w:rPr>
          <w:fldChar w:fldCharType="separate"/>
        </w:r>
        <w:r>
          <w:rPr>
            <w:noProof/>
            <w:webHidden/>
          </w:rPr>
          <w:t>1</w:t>
        </w:r>
        <w:r>
          <w:rPr>
            <w:noProof/>
            <w:webHidden/>
          </w:rPr>
          <w:fldChar w:fldCharType="end"/>
        </w:r>
      </w:hyperlink>
    </w:p>
    <w:p w14:paraId="4573FB2B" w14:textId="42A0F744" w:rsidR="002F79AB" w:rsidRDefault="002F79AB">
      <w:pPr>
        <w:pStyle w:val="TOC3"/>
        <w:tabs>
          <w:tab w:val="right" w:leader="underscore" w:pos="9350"/>
        </w:tabs>
        <w:rPr>
          <w:rFonts w:eastAsiaTheme="minorEastAsia"/>
          <w:noProof/>
          <w:sz w:val="24"/>
          <w:szCs w:val="24"/>
        </w:rPr>
      </w:pPr>
      <w:hyperlink w:anchor="_Toc52606486" w:history="1">
        <w:r w:rsidRPr="00027658">
          <w:rPr>
            <w:rStyle w:val="Hyperlink"/>
            <w:noProof/>
          </w:rPr>
          <w:t>Time Averaging Measurements</w:t>
        </w:r>
        <w:r>
          <w:rPr>
            <w:noProof/>
            <w:webHidden/>
          </w:rPr>
          <w:tab/>
        </w:r>
        <w:r>
          <w:rPr>
            <w:noProof/>
            <w:webHidden/>
          </w:rPr>
          <w:fldChar w:fldCharType="begin"/>
        </w:r>
        <w:r>
          <w:rPr>
            <w:noProof/>
            <w:webHidden/>
          </w:rPr>
          <w:instrText xml:space="preserve"> PAGEREF _Toc52606486 \h </w:instrText>
        </w:r>
        <w:r>
          <w:rPr>
            <w:noProof/>
            <w:webHidden/>
          </w:rPr>
        </w:r>
        <w:r>
          <w:rPr>
            <w:noProof/>
            <w:webHidden/>
          </w:rPr>
          <w:fldChar w:fldCharType="separate"/>
        </w:r>
        <w:r>
          <w:rPr>
            <w:noProof/>
            <w:webHidden/>
          </w:rPr>
          <w:t>2</w:t>
        </w:r>
        <w:r>
          <w:rPr>
            <w:noProof/>
            <w:webHidden/>
          </w:rPr>
          <w:fldChar w:fldCharType="end"/>
        </w:r>
      </w:hyperlink>
    </w:p>
    <w:p w14:paraId="22AE37E2" w14:textId="0D777CA3" w:rsidR="002F79AB" w:rsidRPr="002F79AB" w:rsidRDefault="002F79AB" w:rsidP="002F79AB">
      <w:r>
        <w:fldChar w:fldCharType="end"/>
      </w:r>
    </w:p>
    <w:p w14:paraId="66DAA555" w14:textId="2B58478B" w:rsidR="00103B23" w:rsidRDefault="00103B23" w:rsidP="00103B23">
      <w:pPr>
        <w:pStyle w:val="Heading2"/>
      </w:pPr>
      <w:bookmarkStart w:id="1" w:name="_Toc52606483"/>
      <w:r>
        <w:t xml:space="preserve">AQI </w:t>
      </w:r>
      <w:r w:rsidR="002F79AB">
        <w:t>Standards</w:t>
      </w:r>
      <w:bookmarkEnd w:id="1"/>
    </w:p>
    <w:p w14:paraId="5E3665E5" w14:textId="2401ED6B" w:rsidR="00103B23" w:rsidRPr="00103B23" w:rsidRDefault="00103B23" w:rsidP="00B67C23">
      <w:pPr>
        <w:pStyle w:val="Heading3"/>
      </w:pPr>
      <w:bookmarkStart w:id="2" w:name="_Toc52606484"/>
      <w:r>
        <w:t>Table of AQI Ranges and Color Codes</w:t>
      </w:r>
      <w:bookmarkEnd w:id="2"/>
    </w:p>
    <w:tbl>
      <w:tblPr>
        <w:tblStyle w:val="TableGrid"/>
        <w:tblW w:w="0" w:type="auto"/>
        <w:tblLook w:val="04A0" w:firstRow="1" w:lastRow="0" w:firstColumn="1" w:lastColumn="0" w:noHBand="0" w:noVBand="1"/>
      </w:tblPr>
      <w:tblGrid>
        <w:gridCol w:w="1407"/>
        <w:gridCol w:w="3654"/>
        <w:gridCol w:w="1349"/>
        <w:gridCol w:w="942"/>
        <w:gridCol w:w="691"/>
        <w:gridCol w:w="691"/>
        <w:gridCol w:w="616"/>
      </w:tblGrid>
      <w:tr w:rsidR="00103B23" w:rsidRPr="00103B23" w14:paraId="0B1D5D6E" w14:textId="77777777" w:rsidTr="00103B23">
        <w:tc>
          <w:tcPr>
            <w:tcW w:w="1454" w:type="dxa"/>
          </w:tcPr>
          <w:p w14:paraId="180411B2" w14:textId="3327A7F1" w:rsidR="00103B23" w:rsidRPr="00103B23" w:rsidRDefault="00103B23">
            <w:pPr>
              <w:rPr>
                <w:b/>
                <w:bCs/>
              </w:rPr>
            </w:pPr>
            <w:r w:rsidRPr="00103B23">
              <w:rPr>
                <w:b/>
                <w:bCs/>
              </w:rPr>
              <w:t>AQI Range</w:t>
            </w:r>
          </w:p>
        </w:tc>
        <w:tc>
          <w:tcPr>
            <w:tcW w:w="3851" w:type="dxa"/>
          </w:tcPr>
          <w:p w14:paraId="6F27A56A" w14:textId="35EB8EE0" w:rsidR="00103B23" w:rsidRPr="00103B23" w:rsidRDefault="00103B23">
            <w:pPr>
              <w:rPr>
                <w:b/>
                <w:bCs/>
              </w:rPr>
            </w:pPr>
            <w:r w:rsidRPr="00103B23">
              <w:rPr>
                <w:b/>
                <w:bCs/>
              </w:rPr>
              <w:t>AQI Category</w:t>
            </w:r>
          </w:p>
        </w:tc>
        <w:tc>
          <w:tcPr>
            <w:tcW w:w="1377" w:type="dxa"/>
          </w:tcPr>
          <w:p w14:paraId="5F01C5D9" w14:textId="036B2177" w:rsidR="00103B23" w:rsidRPr="00103B23" w:rsidRDefault="00103B23">
            <w:pPr>
              <w:rPr>
                <w:b/>
                <w:bCs/>
              </w:rPr>
            </w:pPr>
            <w:r w:rsidRPr="00103B23">
              <w:rPr>
                <w:b/>
                <w:bCs/>
              </w:rPr>
              <w:t>AQI Color</w:t>
            </w:r>
          </w:p>
        </w:tc>
        <w:tc>
          <w:tcPr>
            <w:tcW w:w="649" w:type="dxa"/>
          </w:tcPr>
          <w:p w14:paraId="761650C2" w14:textId="459CEA0C" w:rsidR="00103B23" w:rsidRPr="00103B23" w:rsidRDefault="00103B23" w:rsidP="00103B23">
            <w:pPr>
              <w:jc w:val="center"/>
              <w:rPr>
                <w:b/>
                <w:bCs/>
              </w:rPr>
            </w:pPr>
            <w:r>
              <w:rPr>
                <w:b/>
                <w:bCs/>
              </w:rPr>
              <w:t>Hex</w:t>
            </w:r>
          </w:p>
        </w:tc>
        <w:tc>
          <w:tcPr>
            <w:tcW w:w="700" w:type="dxa"/>
          </w:tcPr>
          <w:p w14:paraId="620FF6DD" w14:textId="297B3112" w:rsidR="00103B23" w:rsidRPr="00103B23" w:rsidRDefault="00103B23" w:rsidP="00103B23">
            <w:pPr>
              <w:jc w:val="center"/>
              <w:rPr>
                <w:b/>
                <w:bCs/>
              </w:rPr>
            </w:pPr>
            <w:r w:rsidRPr="00103B23">
              <w:rPr>
                <w:b/>
                <w:bCs/>
              </w:rPr>
              <w:t>R</w:t>
            </w:r>
          </w:p>
        </w:tc>
        <w:tc>
          <w:tcPr>
            <w:tcW w:w="700" w:type="dxa"/>
          </w:tcPr>
          <w:p w14:paraId="197E5EBE" w14:textId="614B550C" w:rsidR="00103B23" w:rsidRPr="00103B23" w:rsidRDefault="00103B23" w:rsidP="00103B23">
            <w:pPr>
              <w:jc w:val="center"/>
              <w:rPr>
                <w:b/>
                <w:bCs/>
              </w:rPr>
            </w:pPr>
            <w:r w:rsidRPr="00103B23">
              <w:rPr>
                <w:b/>
                <w:bCs/>
              </w:rPr>
              <w:t>G</w:t>
            </w:r>
          </w:p>
        </w:tc>
        <w:tc>
          <w:tcPr>
            <w:tcW w:w="619" w:type="dxa"/>
          </w:tcPr>
          <w:p w14:paraId="20056C6D" w14:textId="220A98BC" w:rsidR="00103B23" w:rsidRPr="00103B23" w:rsidRDefault="00103B23" w:rsidP="00103B23">
            <w:pPr>
              <w:jc w:val="center"/>
              <w:rPr>
                <w:b/>
                <w:bCs/>
              </w:rPr>
            </w:pPr>
            <w:r w:rsidRPr="00103B23">
              <w:rPr>
                <w:b/>
                <w:bCs/>
              </w:rPr>
              <w:t>B</w:t>
            </w:r>
          </w:p>
        </w:tc>
      </w:tr>
      <w:tr w:rsidR="00103B23" w14:paraId="1C73890C" w14:textId="77777777" w:rsidTr="00197F25">
        <w:tc>
          <w:tcPr>
            <w:tcW w:w="1454" w:type="dxa"/>
          </w:tcPr>
          <w:p w14:paraId="0095F18C" w14:textId="14B918ED" w:rsidR="00103B23" w:rsidRDefault="00103B23">
            <w:r>
              <w:t>0-50</w:t>
            </w:r>
          </w:p>
        </w:tc>
        <w:tc>
          <w:tcPr>
            <w:tcW w:w="3851" w:type="dxa"/>
          </w:tcPr>
          <w:p w14:paraId="13603E43" w14:textId="0CC2177C" w:rsidR="00103B23" w:rsidRDefault="00103B23">
            <w:r>
              <w:t>Good</w:t>
            </w:r>
          </w:p>
        </w:tc>
        <w:tc>
          <w:tcPr>
            <w:tcW w:w="1377" w:type="dxa"/>
            <w:shd w:val="clear" w:color="auto" w:fill="00E400"/>
          </w:tcPr>
          <w:p w14:paraId="6E413EDE" w14:textId="018B5860" w:rsidR="00103B23" w:rsidRDefault="00103B23">
            <w:r>
              <w:t>Green</w:t>
            </w:r>
          </w:p>
        </w:tc>
        <w:tc>
          <w:tcPr>
            <w:tcW w:w="649" w:type="dxa"/>
            <w:shd w:val="clear" w:color="auto" w:fill="auto"/>
          </w:tcPr>
          <w:p w14:paraId="181AC5AF" w14:textId="0D9A6F2B" w:rsidR="00103B23" w:rsidRDefault="00197F25" w:rsidP="00103B23">
            <w:pPr>
              <w:jc w:val="center"/>
            </w:pPr>
            <w:r w:rsidRPr="00197F25">
              <w:t>00E400</w:t>
            </w:r>
          </w:p>
        </w:tc>
        <w:tc>
          <w:tcPr>
            <w:tcW w:w="700" w:type="dxa"/>
          </w:tcPr>
          <w:p w14:paraId="5815CEA2" w14:textId="51251EC8" w:rsidR="00103B23" w:rsidRDefault="00103B23" w:rsidP="00103B23">
            <w:pPr>
              <w:jc w:val="center"/>
            </w:pPr>
            <w:r>
              <w:t>0</w:t>
            </w:r>
          </w:p>
        </w:tc>
        <w:tc>
          <w:tcPr>
            <w:tcW w:w="700" w:type="dxa"/>
          </w:tcPr>
          <w:p w14:paraId="57A5085F" w14:textId="73AA96AA" w:rsidR="00103B23" w:rsidRDefault="00103B23" w:rsidP="00103B23">
            <w:pPr>
              <w:jc w:val="center"/>
            </w:pPr>
            <w:r>
              <w:t>228</w:t>
            </w:r>
          </w:p>
        </w:tc>
        <w:tc>
          <w:tcPr>
            <w:tcW w:w="619" w:type="dxa"/>
          </w:tcPr>
          <w:p w14:paraId="713F1773" w14:textId="7262F75C" w:rsidR="00103B23" w:rsidRDefault="00103B23" w:rsidP="00103B23">
            <w:pPr>
              <w:jc w:val="center"/>
            </w:pPr>
            <w:r>
              <w:t>0</w:t>
            </w:r>
          </w:p>
        </w:tc>
      </w:tr>
      <w:tr w:rsidR="00103B23" w14:paraId="6EC9BB6A" w14:textId="77777777" w:rsidTr="00103B23">
        <w:tc>
          <w:tcPr>
            <w:tcW w:w="1454" w:type="dxa"/>
          </w:tcPr>
          <w:p w14:paraId="175D44FD" w14:textId="12243850" w:rsidR="00103B23" w:rsidRDefault="00103B23">
            <w:r>
              <w:t>51-100</w:t>
            </w:r>
          </w:p>
        </w:tc>
        <w:tc>
          <w:tcPr>
            <w:tcW w:w="3851" w:type="dxa"/>
          </w:tcPr>
          <w:p w14:paraId="702C5727" w14:textId="422D672A" w:rsidR="00103B23" w:rsidRDefault="00103B23">
            <w:r>
              <w:t>Moderate</w:t>
            </w:r>
          </w:p>
        </w:tc>
        <w:tc>
          <w:tcPr>
            <w:tcW w:w="1377" w:type="dxa"/>
            <w:shd w:val="clear" w:color="auto" w:fill="FFFF00"/>
          </w:tcPr>
          <w:p w14:paraId="70186AAD" w14:textId="15BD7608" w:rsidR="00103B23" w:rsidRDefault="00103B23">
            <w:r>
              <w:t>Yellow</w:t>
            </w:r>
          </w:p>
        </w:tc>
        <w:tc>
          <w:tcPr>
            <w:tcW w:w="649" w:type="dxa"/>
          </w:tcPr>
          <w:p w14:paraId="6F2EF858" w14:textId="67DF5801" w:rsidR="00103B23" w:rsidRDefault="00197F25" w:rsidP="00103B23">
            <w:pPr>
              <w:jc w:val="center"/>
            </w:pPr>
            <w:r w:rsidRPr="00197F25">
              <w:t>FFFF00</w:t>
            </w:r>
          </w:p>
        </w:tc>
        <w:tc>
          <w:tcPr>
            <w:tcW w:w="700" w:type="dxa"/>
          </w:tcPr>
          <w:p w14:paraId="73C16442" w14:textId="561E9B0C" w:rsidR="00103B23" w:rsidRDefault="00103B23" w:rsidP="00103B23">
            <w:pPr>
              <w:jc w:val="center"/>
            </w:pPr>
            <w:r>
              <w:t>255</w:t>
            </w:r>
          </w:p>
        </w:tc>
        <w:tc>
          <w:tcPr>
            <w:tcW w:w="700" w:type="dxa"/>
          </w:tcPr>
          <w:p w14:paraId="5D302A17" w14:textId="55E4C89D" w:rsidR="00103B23" w:rsidRDefault="00103B23" w:rsidP="00103B23">
            <w:pPr>
              <w:jc w:val="center"/>
            </w:pPr>
            <w:r>
              <w:t>255</w:t>
            </w:r>
          </w:p>
        </w:tc>
        <w:tc>
          <w:tcPr>
            <w:tcW w:w="619" w:type="dxa"/>
          </w:tcPr>
          <w:p w14:paraId="1BCBA6C6" w14:textId="44F12113" w:rsidR="00103B23" w:rsidRDefault="00103B23" w:rsidP="00103B23">
            <w:pPr>
              <w:jc w:val="center"/>
            </w:pPr>
            <w:r>
              <w:t>0</w:t>
            </w:r>
          </w:p>
        </w:tc>
      </w:tr>
      <w:tr w:rsidR="00103B23" w14:paraId="25D81277" w14:textId="77777777" w:rsidTr="00103B23">
        <w:tc>
          <w:tcPr>
            <w:tcW w:w="1454" w:type="dxa"/>
          </w:tcPr>
          <w:p w14:paraId="4C27C845" w14:textId="44C709E0" w:rsidR="00103B23" w:rsidRDefault="00103B23">
            <w:r>
              <w:t>101-150</w:t>
            </w:r>
          </w:p>
        </w:tc>
        <w:tc>
          <w:tcPr>
            <w:tcW w:w="3851" w:type="dxa"/>
          </w:tcPr>
          <w:p w14:paraId="2D3AD529" w14:textId="027421BE" w:rsidR="00103B23" w:rsidRDefault="00103B23">
            <w:r>
              <w:t>Unhealthy for Sensitive Groups</w:t>
            </w:r>
          </w:p>
        </w:tc>
        <w:tc>
          <w:tcPr>
            <w:tcW w:w="1377" w:type="dxa"/>
            <w:shd w:val="clear" w:color="auto" w:fill="FF7E00"/>
          </w:tcPr>
          <w:p w14:paraId="4510546B" w14:textId="2C8603C7" w:rsidR="00103B23" w:rsidRDefault="00103B23">
            <w:r>
              <w:t>Orange</w:t>
            </w:r>
          </w:p>
        </w:tc>
        <w:tc>
          <w:tcPr>
            <w:tcW w:w="649" w:type="dxa"/>
          </w:tcPr>
          <w:p w14:paraId="54541853" w14:textId="35D7BD7B" w:rsidR="00103B23" w:rsidRDefault="00103B23" w:rsidP="00103B23">
            <w:pPr>
              <w:jc w:val="center"/>
            </w:pPr>
            <w:r w:rsidRPr="00103B23">
              <w:t>FF7E00</w:t>
            </w:r>
          </w:p>
        </w:tc>
        <w:tc>
          <w:tcPr>
            <w:tcW w:w="700" w:type="dxa"/>
          </w:tcPr>
          <w:p w14:paraId="1E837480" w14:textId="77FA31C4" w:rsidR="00103B23" w:rsidRDefault="00103B23" w:rsidP="00103B23">
            <w:pPr>
              <w:jc w:val="center"/>
            </w:pPr>
            <w:r>
              <w:t>255</w:t>
            </w:r>
          </w:p>
        </w:tc>
        <w:tc>
          <w:tcPr>
            <w:tcW w:w="700" w:type="dxa"/>
          </w:tcPr>
          <w:p w14:paraId="34190DFE" w14:textId="3BF45C6F" w:rsidR="00103B23" w:rsidRDefault="00103B23" w:rsidP="00103B23">
            <w:pPr>
              <w:jc w:val="center"/>
            </w:pPr>
            <w:r>
              <w:t>126</w:t>
            </w:r>
          </w:p>
        </w:tc>
        <w:tc>
          <w:tcPr>
            <w:tcW w:w="619" w:type="dxa"/>
          </w:tcPr>
          <w:p w14:paraId="403AABA8" w14:textId="288AE970" w:rsidR="00103B23" w:rsidRDefault="00103B23" w:rsidP="00103B23">
            <w:pPr>
              <w:jc w:val="center"/>
            </w:pPr>
            <w:r>
              <w:t>0</w:t>
            </w:r>
          </w:p>
        </w:tc>
      </w:tr>
      <w:tr w:rsidR="00103B23" w14:paraId="6B40D55A" w14:textId="77777777" w:rsidTr="00197F25">
        <w:tc>
          <w:tcPr>
            <w:tcW w:w="1454" w:type="dxa"/>
          </w:tcPr>
          <w:p w14:paraId="6D492F2D" w14:textId="63465948" w:rsidR="00103B23" w:rsidRDefault="00103B23">
            <w:r>
              <w:t>151-200</w:t>
            </w:r>
          </w:p>
        </w:tc>
        <w:tc>
          <w:tcPr>
            <w:tcW w:w="3851" w:type="dxa"/>
          </w:tcPr>
          <w:p w14:paraId="2BA3CA49" w14:textId="6E544F49" w:rsidR="00103B23" w:rsidRDefault="00103B23">
            <w:r>
              <w:t>Unhealthy</w:t>
            </w:r>
          </w:p>
        </w:tc>
        <w:tc>
          <w:tcPr>
            <w:tcW w:w="1377" w:type="dxa"/>
            <w:shd w:val="clear" w:color="auto" w:fill="FF0000"/>
          </w:tcPr>
          <w:p w14:paraId="45940C97" w14:textId="2355FAB1" w:rsidR="00103B23" w:rsidRDefault="00103B23">
            <w:r>
              <w:t>Red</w:t>
            </w:r>
          </w:p>
        </w:tc>
        <w:tc>
          <w:tcPr>
            <w:tcW w:w="649" w:type="dxa"/>
          </w:tcPr>
          <w:p w14:paraId="689837B3" w14:textId="296398AE" w:rsidR="00103B23" w:rsidRDefault="00197F25" w:rsidP="00103B23">
            <w:pPr>
              <w:jc w:val="center"/>
            </w:pPr>
            <w:r w:rsidRPr="00197F25">
              <w:t>FF0000</w:t>
            </w:r>
          </w:p>
        </w:tc>
        <w:tc>
          <w:tcPr>
            <w:tcW w:w="700" w:type="dxa"/>
          </w:tcPr>
          <w:p w14:paraId="5BB3CDED" w14:textId="39360630" w:rsidR="00103B23" w:rsidRDefault="00103B23" w:rsidP="00103B23">
            <w:pPr>
              <w:jc w:val="center"/>
            </w:pPr>
            <w:r>
              <w:t>255</w:t>
            </w:r>
          </w:p>
        </w:tc>
        <w:tc>
          <w:tcPr>
            <w:tcW w:w="700" w:type="dxa"/>
          </w:tcPr>
          <w:p w14:paraId="1BEFEB78" w14:textId="5F3C0883" w:rsidR="00103B23" w:rsidRDefault="00103B23" w:rsidP="00103B23">
            <w:pPr>
              <w:jc w:val="center"/>
            </w:pPr>
            <w:r>
              <w:t>0</w:t>
            </w:r>
          </w:p>
        </w:tc>
        <w:tc>
          <w:tcPr>
            <w:tcW w:w="619" w:type="dxa"/>
          </w:tcPr>
          <w:p w14:paraId="5E29236C" w14:textId="1D1F8500" w:rsidR="00103B23" w:rsidRDefault="00103B23" w:rsidP="00103B23">
            <w:pPr>
              <w:jc w:val="center"/>
            </w:pPr>
            <w:r>
              <w:t>0</w:t>
            </w:r>
          </w:p>
        </w:tc>
      </w:tr>
      <w:tr w:rsidR="00103B23" w14:paraId="0C362804" w14:textId="77777777" w:rsidTr="00FE3BB7">
        <w:tc>
          <w:tcPr>
            <w:tcW w:w="1454" w:type="dxa"/>
          </w:tcPr>
          <w:p w14:paraId="3145C5D9" w14:textId="1DA0E4FB" w:rsidR="00103B23" w:rsidRDefault="00103B23">
            <w:r>
              <w:t>201-300</w:t>
            </w:r>
          </w:p>
        </w:tc>
        <w:tc>
          <w:tcPr>
            <w:tcW w:w="3851" w:type="dxa"/>
          </w:tcPr>
          <w:p w14:paraId="5CC3DBE3" w14:textId="528C90B0" w:rsidR="00103B23" w:rsidRDefault="00103B23">
            <w:r>
              <w:t>Very Unhealthy</w:t>
            </w:r>
          </w:p>
        </w:tc>
        <w:tc>
          <w:tcPr>
            <w:tcW w:w="1377" w:type="dxa"/>
            <w:shd w:val="clear" w:color="auto" w:fill="8F3F97"/>
          </w:tcPr>
          <w:p w14:paraId="60D78D4C" w14:textId="3276ABEF" w:rsidR="00103B23" w:rsidRDefault="00103B23">
            <w:r w:rsidRPr="00FE3BB7">
              <w:rPr>
                <w:color w:val="FFFFFF" w:themeColor="background1"/>
              </w:rPr>
              <w:t>Purple</w:t>
            </w:r>
          </w:p>
        </w:tc>
        <w:tc>
          <w:tcPr>
            <w:tcW w:w="649" w:type="dxa"/>
          </w:tcPr>
          <w:p w14:paraId="6AD540EA" w14:textId="7DF6E67C" w:rsidR="00103B23" w:rsidRDefault="00FE3BB7" w:rsidP="00103B23">
            <w:pPr>
              <w:jc w:val="center"/>
            </w:pPr>
            <w:r w:rsidRPr="00FE3BB7">
              <w:t>8F3F97</w:t>
            </w:r>
          </w:p>
        </w:tc>
        <w:tc>
          <w:tcPr>
            <w:tcW w:w="700" w:type="dxa"/>
          </w:tcPr>
          <w:p w14:paraId="485483C9" w14:textId="329DCD2F" w:rsidR="00103B23" w:rsidRDefault="00103B23" w:rsidP="00103B23">
            <w:pPr>
              <w:jc w:val="center"/>
            </w:pPr>
            <w:r>
              <w:t>143</w:t>
            </w:r>
          </w:p>
        </w:tc>
        <w:tc>
          <w:tcPr>
            <w:tcW w:w="700" w:type="dxa"/>
          </w:tcPr>
          <w:p w14:paraId="6D50946D" w14:textId="0365D3D9" w:rsidR="00103B23" w:rsidRDefault="00103B23" w:rsidP="00103B23">
            <w:pPr>
              <w:jc w:val="center"/>
            </w:pPr>
            <w:r>
              <w:t>63</w:t>
            </w:r>
          </w:p>
        </w:tc>
        <w:tc>
          <w:tcPr>
            <w:tcW w:w="619" w:type="dxa"/>
          </w:tcPr>
          <w:p w14:paraId="475B14B4" w14:textId="5AE0F88C" w:rsidR="00103B23" w:rsidRDefault="00103B23" w:rsidP="00103B23">
            <w:pPr>
              <w:jc w:val="center"/>
            </w:pPr>
            <w:r>
              <w:t>151</w:t>
            </w:r>
          </w:p>
        </w:tc>
      </w:tr>
      <w:tr w:rsidR="00103B23" w14:paraId="49C29906" w14:textId="77777777" w:rsidTr="00FE3BB7">
        <w:tc>
          <w:tcPr>
            <w:tcW w:w="1454" w:type="dxa"/>
          </w:tcPr>
          <w:p w14:paraId="14A9E724" w14:textId="0A6023B1" w:rsidR="00103B23" w:rsidRDefault="00103B23">
            <w:r>
              <w:t>301-500</w:t>
            </w:r>
          </w:p>
        </w:tc>
        <w:tc>
          <w:tcPr>
            <w:tcW w:w="3851" w:type="dxa"/>
          </w:tcPr>
          <w:p w14:paraId="551500B5" w14:textId="5DF04D79" w:rsidR="00103B23" w:rsidRDefault="00103B23">
            <w:r>
              <w:t>Hazardous</w:t>
            </w:r>
          </w:p>
        </w:tc>
        <w:tc>
          <w:tcPr>
            <w:tcW w:w="1377" w:type="dxa"/>
            <w:shd w:val="clear" w:color="auto" w:fill="7E0023"/>
          </w:tcPr>
          <w:p w14:paraId="21C8F52D" w14:textId="25D2884F" w:rsidR="00103B23" w:rsidRDefault="00103B23">
            <w:r>
              <w:t>Maroon</w:t>
            </w:r>
          </w:p>
        </w:tc>
        <w:tc>
          <w:tcPr>
            <w:tcW w:w="649" w:type="dxa"/>
          </w:tcPr>
          <w:p w14:paraId="2CD4F7FD" w14:textId="1254D8DE" w:rsidR="00103B23" w:rsidRDefault="00FE3BB7" w:rsidP="00103B23">
            <w:pPr>
              <w:jc w:val="center"/>
            </w:pPr>
            <w:r w:rsidRPr="00FE3BB7">
              <w:t>7E0023</w:t>
            </w:r>
          </w:p>
        </w:tc>
        <w:tc>
          <w:tcPr>
            <w:tcW w:w="700" w:type="dxa"/>
          </w:tcPr>
          <w:p w14:paraId="35727586" w14:textId="12283DBB" w:rsidR="00103B23" w:rsidRDefault="00103B23" w:rsidP="00103B23">
            <w:pPr>
              <w:jc w:val="center"/>
            </w:pPr>
            <w:r>
              <w:t>126</w:t>
            </w:r>
          </w:p>
        </w:tc>
        <w:tc>
          <w:tcPr>
            <w:tcW w:w="700" w:type="dxa"/>
          </w:tcPr>
          <w:p w14:paraId="031355AC" w14:textId="3EEFCF2E" w:rsidR="00103B23" w:rsidRDefault="00103B23" w:rsidP="00103B23">
            <w:pPr>
              <w:jc w:val="center"/>
            </w:pPr>
            <w:r>
              <w:t>0</w:t>
            </w:r>
          </w:p>
        </w:tc>
        <w:tc>
          <w:tcPr>
            <w:tcW w:w="619" w:type="dxa"/>
          </w:tcPr>
          <w:p w14:paraId="17CA5F9C" w14:textId="4733F92B" w:rsidR="00103B23" w:rsidRDefault="00103B23" w:rsidP="00103B23">
            <w:pPr>
              <w:jc w:val="center"/>
            </w:pPr>
            <w:r>
              <w:t>35</w:t>
            </w:r>
          </w:p>
        </w:tc>
      </w:tr>
    </w:tbl>
    <w:p w14:paraId="06218E83" w14:textId="5C108541" w:rsidR="00103B23" w:rsidRDefault="00103B23"/>
    <w:p w14:paraId="00D4E8D5" w14:textId="02F4DB2B" w:rsidR="00FE3BB7" w:rsidRDefault="00FE3BB7"/>
    <w:p w14:paraId="0688C569" w14:textId="32537B63" w:rsidR="00FE3BB7" w:rsidRDefault="00FE3BB7" w:rsidP="00B67C23">
      <w:pPr>
        <w:pStyle w:val="Heading3"/>
      </w:pPr>
      <w:bookmarkStart w:id="3" w:name="_Toc52606485"/>
      <w:r>
        <w:t>Table of AQI Ranges and µg/m</w:t>
      </w:r>
      <w:r>
        <w:rPr>
          <w:vertAlign w:val="superscript"/>
        </w:rPr>
        <w:t>3</w:t>
      </w:r>
      <w:r>
        <w:t xml:space="preserve"> Measurements</w:t>
      </w:r>
      <w:bookmarkEnd w:id="3"/>
    </w:p>
    <w:tbl>
      <w:tblPr>
        <w:tblStyle w:val="TableGrid"/>
        <w:tblW w:w="0" w:type="auto"/>
        <w:tblLook w:val="04A0" w:firstRow="1" w:lastRow="0" w:firstColumn="1" w:lastColumn="0" w:noHBand="0" w:noVBand="1"/>
      </w:tblPr>
      <w:tblGrid>
        <w:gridCol w:w="1345"/>
        <w:gridCol w:w="1980"/>
        <w:gridCol w:w="1620"/>
        <w:gridCol w:w="900"/>
        <w:gridCol w:w="1620"/>
        <w:gridCol w:w="843"/>
      </w:tblGrid>
      <w:tr w:rsidR="00472A88" w14:paraId="300EBBF5" w14:textId="0AE978D4" w:rsidTr="00472A88">
        <w:tc>
          <w:tcPr>
            <w:tcW w:w="1345" w:type="dxa"/>
          </w:tcPr>
          <w:p w14:paraId="2BC3FEE4" w14:textId="7B544D20" w:rsidR="00472A88" w:rsidRDefault="00472A88" w:rsidP="00FE3BB7">
            <w:r w:rsidRPr="00103B23">
              <w:rPr>
                <w:b/>
                <w:bCs/>
              </w:rPr>
              <w:t>AQI Range</w:t>
            </w:r>
          </w:p>
        </w:tc>
        <w:tc>
          <w:tcPr>
            <w:tcW w:w="1980" w:type="dxa"/>
          </w:tcPr>
          <w:p w14:paraId="19164786" w14:textId="6C1FAD26" w:rsidR="00472A88" w:rsidRDefault="00472A88" w:rsidP="00FE3BB7">
            <w:r w:rsidRPr="00103B23">
              <w:rPr>
                <w:b/>
                <w:bCs/>
              </w:rPr>
              <w:t>AQI Category</w:t>
            </w:r>
          </w:p>
        </w:tc>
        <w:tc>
          <w:tcPr>
            <w:tcW w:w="1620" w:type="dxa"/>
          </w:tcPr>
          <w:p w14:paraId="06C2993A" w14:textId="6203C145" w:rsidR="00472A88" w:rsidRPr="00FE3BB7" w:rsidRDefault="00472A88" w:rsidP="00FE3BB7">
            <w:pPr>
              <w:jc w:val="center"/>
              <w:rPr>
                <w:b/>
                <w:bCs/>
              </w:rPr>
            </w:pPr>
            <w:r w:rsidRPr="00FE3BB7">
              <w:rPr>
                <w:b/>
                <w:bCs/>
              </w:rPr>
              <w:t>PM</w:t>
            </w:r>
            <w:r w:rsidRPr="00FE3BB7">
              <w:rPr>
                <w:b/>
                <w:bCs/>
                <w:vertAlign w:val="subscript"/>
              </w:rPr>
              <w:t>2.5</w:t>
            </w:r>
            <w:r w:rsidRPr="00FE3BB7">
              <w:rPr>
                <w:b/>
                <w:bCs/>
              </w:rPr>
              <w:t xml:space="preserve"> 24hr </w:t>
            </w:r>
            <w:r w:rsidRPr="00FE3BB7">
              <w:rPr>
                <w:b/>
                <w:bCs/>
              </w:rPr>
              <w:t>µg/m</w:t>
            </w:r>
            <w:r w:rsidRPr="00FE3BB7">
              <w:rPr>
                <w:b/>
                <w:bCs/>
                <w:vertAlign w:val="superscript"/>
              </w:rPr>
              <w:t>3</w:t>
            </w:r>
          </w:p>
        </w:tc>
        <w:tc>
          <w:tcPr>
            <w:tcW w:w="900" w:type="dxa"/>
          </w:tcPr>
          <w:p w14:paraId="7960EB28" w14:textId="38B3E735" w:rsidR="00472A88" w:rsidRPr="00FE3BB7" w:rsidRDefault="00472A88" w:rsidP="00FE3BB7">
            <w:pPr>
              <w:jc w:val="center"/>
              <w:rPr>
                <w:b/>
                <w:bCs/>
              </w:rPr>
            </w:pPr>
            <w:r>
              <w:rPr>
                <w:b/>
                <w:bCs/>
              </w:rPr>
              <w:t>AQI Factor</w:t>
            </w:r>
          </w:p>
        </w:tc>
        <w:tc>
          <w:tcPr>
            <w:tcW w:w="1620" w:type="dxa"/>
          </w:tcPr>
          <w:p w14:paraId="727D0CBA" w14:textId="22DFA8F1" w:rsidR="00472A88" w:rsidRPr="00FE3BB7" w:rsidRDefault="00472A88" w:rsidP="00FE3BB7">
            <w:pPr>
              <w:jc w:val="center"/>
              <w:rPr>
                <w:b/>
                <w:bCs/>
              </w:rPr>
            </w:pPr>
            <w:r w:rsidRPr="00FE3BB7">
              <w:rPr>
                <w:b/>
                <w:bCs/>
              </w:rPr>
              <w:t>PM</w:t>
            </w:r>
            <w:r w:rsidRPr="00FE3BB7">
              <w:rPr>
                <w:b/>
                <w:bCs/>
                <w:vertAlign w:val="subscript"/>
              </w:rPr>
              <w:t>10.0</w:t>
            </w:r>
            <w:r w:rsidRPr="00FE3BB7">
              <w:rPr>
                <w:b/>
                <w:bCs/>
              </w:rPr>
              <w:t xml:space="preserve"> 24 </w:t>
            </w:r>
            <w:proofErr w:type="spellStart"/>
            <w:r w:rsidRPr="00FE3BB7">
              <w:rPr>
                <w:b/>
                <w:bCs/>
              </w:rPr>
              <w:t>hr</w:t>
            </w:r>
            <w:proofErr w:type="spellEnd"/>
            <w:r w:rsidRPr="00FE3BB7">
              <w:rPr>
                <w:b/>
                <w:bCs/>
              </w:rPr>
              <w:t xml:space="preserve"> </w:t>
            </w:r>
            <w:r w:rsidRPr="00FE3BB7">
              <w:rPr>
                <w:b/>
                <w:bCs/>
              </w:rPr>
              <w:t>µg/m</w:t>
            </w:r>
            <w:r w:rsidRPr="00FE3BB7">
              <w:rPr>
                <w:b/>
                <w:bCs/>
                <w:vertAlign w:val="superscript"/>
              </w:rPr>
              <w:t>3</w:t>
            </w:r>
          </w:p>
        </w:tc>
        <w:tc>
          <w:tcPr>
            <w:tcW w:w="810" w:type="dxa"/>
          </w:tcPr>
          <w:p w14:paraId="39CD2373" w14:textId="2B1AF524" w:rsidR="00472A88" w:rsidRPr="00FE3BB7" w:rsidRDefault="00472A88" w:rsidP="00FE3BB7">
            <w:pPr>
              <w:jc w:val="center"/>
              <w:rPr>
                <w:b/>
                <w:bCs/>
              </w:rPr>
            </w:pPr>
            <w:r>
              <w:rPr>
                <w:b/>
                <w:bCs/>
              </w:rPr>
              <w:t>AQI Factor</w:t>
            </w:r>
          </w:p>
        </w:tc>
      </w:tr>
      <w:tr w:rsidR="00472A88" w14:paraId="69ED2206" w14:textId="0DD5C2BB" w:rsidTr="00472A88">
        <w:tc>
          <w:tcPr>
            <w:tcW w:w="1345" w:type="dxa"/>
          </w:tcPr>
          <w:p w14:paraId="404D6EFC" w14:textId="25C0C7BD" w:rsidR="00472A88" w:rsidRDefault="00472A88" w:rsidP="00FE3BB7">
            <w:r>
              <w:t>0-50</w:t>
            </w:r>
          </w:p>
        </w:tc>
        <w:tc>
          <w:tcPr>
            <w:tcW w:w="1980" w:type="dxa"/>
          </w:tcPr>
          <w:p w14:paraId="75A7903C" w14:textId="6FBB72A0" w:rsidR="00472A88" w:rsidRDefault="00472A88" w:rsidP="00FE3BB7">
            <w:r>
              <w:t>Good</w:t>
            </w:r>
          </w:p>
        </w:tc>
        <w:tc>
          <w:tcPr>
            <w:tcW w:w="1620" w:type="dxa"/>
          </w:tcPr>
          <w:p w14:paraId="38555412" w14:textId="0CAECACD" w:rsidR="00472A88" w:rsidRDefault="00472A88" w:rsidP="00FE3BB7">
            <w:pPr>
              <w:jc w:val="center"/>
            </w:pPr>
            <w:r>
              <w:t>0-12</w:t>
            </w:r>
          </w:p>
        </w:tc>
        <w:tc>
          <w:tcPr>
            <w:tcW w:w="900" w:type="dxa"/>
          </w:tcPr>
          <w:p w14:paraId="70E237E8" w14:textId="1E0E9699" w:rsidR="00472A88" w:rsidRDefault="00472A88" w:rsidP="00472A88">
            <w:pPr>
              <w:jc w:val="center"/>
            </w:pPr>
            <w:r>
              <w:t>4.17</w:t>
            </w:r>
          </w:p>
        </w:tc>
        <w:tc>
          <w:tcPr>
            <w:tcW w:w="1620" w:type="dxa"/>
          </w:tcPr>
          <w:p w14:paraId="3C86FD32" w14:textId="162A53EC" w:rsidR="00472A88" w:rsidRDefault="00472A88" w:rsidP="00FE3BB7">
            <w:pPr>
              <w:jc w:val="center"/>
            </w:pPr>
            <w:r>
              <w:t>0-54</w:t>
            </w:r>
          </w:p>
        </w:tc>
        <w:tc>
          <w:tcPr>
            <w:tcW w:w="810" w:type="dxa"/>
          </w:tcPr>
          <w:p w14:paraId="5C9C2C24" w14:textId="55F4792D" w:rsidR="00472A88" w:rsidRDefault="00B67C23" w:rsidP="00FE3BB7">
            <w:pPr>
              <w:jc w:val="center"/>
            </w:pPr>
            <w:r>
              <w:t>0.93</w:t>
            </w:r>
          </w:p>
        </w:tc>
      </w:tr>
      <w:tr w:rsidR="00472A88" w14:paraId="08A3FD0F" w14:textId="6E56415C" w:rsidTr="00472A88">
        <w:tc>
          <w:tcPr>
            <w:tcW w:w="1345" w:type="dxa"/>
          </w:tcPr>
          <w:p w14:paraId="493F2196" w14:textId="05296395" w:rsidR="00472A88" w:rsidRDefault="00472A88" w:rsidP="00FE3BB7">
            <w:r>
              <w:t>51-100</w:t>
            </w:r>
          </w:p>
        </w:tc>
        <w:tc>
          <w:tcPr>
            <w:tcW w:w="1980" w:type="dxa"/>
          </w:tcPr>
          <w:p w14:paraId="15F8566E" w14:textId="1FDDFD8F" w:rsidR="00472A88" w:rsidRDefault="00472A88" w:rsidP="00FE3BB7">
            <w:r>
              <w:t>Moderate</w:t>
            </w:r>
          </w:p>
        </w:tc>
        <w:tc>
          <w:tcPr>
            <w:tcW w:w="1620" w:type="dxa"/>
          </w:tcPr>
          <w:p w14:paraId="731872C1" w14:textId="6286DAE1" w:rsidR="00472A88" w:rsidRDefault="00472A88" w:rsidP="00FE3BB7">
            <w:pPr>
              <w:jc w:val="center"/>
            </w:pPr>
            <w:r>
              <w:t>12.1-35.4</w:t>
            </w:r>
          </w:p>
        </w:tc>
        <w:tc>
          <w:tcPr>
            <w:tcW w:w="900" w:type="dxa"/>
          </w:tcPr>
          <w:p w14:paraId="4022E5DC" w14:textId="48B9EE7D" w:rsidR="00472A88" w:rsidRDefault="00472A88" w:rsidP="00FE3BB7">
            <w:pPr>
              <w:jc w:val="center"/>
            </w:pPr>
            <w:r>
              <w:t>2.10</w:t>
            </w:r>
          </w:p>
        </w:tc>
        <w:tc>
          <w:tcPr>
            <w:tcW w:w="1620" w:type="dxa"/>
          </w:tcPr>
          <w:p w14:paraId="0BF74A2E" w14:textId="3187C1CF" w:rsidR="00472A88" w:rsidRDefault="00472A88" w:rsidP="00FE3BB7">
            <w:pPr>
              <w:jc w:val="center"/>
            </w:pPr>
            <w:r>
              <w:t>55-154</w:t>
            </w:r>
          </w:p>
        </w:tc>
        <w:tc>
          <w:tcPr>
            <w:tcW w:w="810" w:type="dxa"/>
          </w:tcPr>
          <w:p w14:paraId="7E164FEB" w14:textId="1ED9A94A" w:rsidR="00472A88" w:rsidRDefault="00B67C23" w:rsidP="00472A88">
            <w:pPr>
              <w:jc w:val="center"/>
            </w:pPr>
            <w:r>
              <w:t>0</w:t>
            </w:r>
            <w:r w:rsidR="00472A88">
              <w:t>.49</w:t>
            </w:r>
          </w:p>
        </w:tc>
      </w:tr>
      <w:tr w:rsidR="00472A88" w14:paraId="56DBA70A" w14:textId="3904E0FC" w:rsidTr="00472A88">
        <w:tc>
          <w:tcPr>
            <w:tcW w:w="1345" w:type="dxa"/>
          </w:tcPr>
          <w:p w14:paraId="162FDC3A" w14:textId="225513CB" w:rsidR="00472A88" w:rsidRDefault="00472A88" w:rsidP="00FE3BB7">
            <w:r>
              <w:t>101-150</w:t>
            </w:r>
          </w:p>
        </w:tc>
        <w:tc>
          <w:tcPr>
            <w:tcW w:w="1980" w:type="dxa"/>
          </w:tcPr>
          <w:p w14:paraId="45206441" w14:textId="34E5191B" w:rsidR="00472A88" w:rsidRDefault="00472A88" w:rsidP="00FE3BB7">
            <w:r>
              <w:t>Unhealthy for Sensitive Groups</w:t>
            </w:r>
          </w:p>
        </w:tc>
        <w:tc>
          <w:tcPr>
            <w:tcW w:w="1620" w:type="dxa"/>
          </w:tcPr>
          <w:p w14:paraId="06B2DA86" w14:textId="1D63374D" w:rsidR="00472A88" w:rsidRDefault="00472A88" w:rsidP="00FE3BB7">
            <w:pPr>
              <w:jc w:val="center"/>
            </w:pPr>
            <w:r>
              <w:t>35.5-55.4</w:t>
            </w:r>
          </w:p>
        </w:tc>
        <w:tc>
          <w:tcPr>
            <w:tcW w:w="900" w:type="dxa"/>
          </w:tcPr>
          <w:p w14:paraId="416B6317" w14:textId="46AD00CA" w:rsidR="00472A88" w:rsidRDefault="00472A88" w:rsidP="00FE3BB7">
            <w:pPr>
              <w:jc w:val="center"/>
            </w:pPr>
            <w:r>
              <w:t>2.46</w:t>
            </w:r>
          </w:p>
        </w:tc>
        <w:tc>
          <w:tcPr>
            <w:tcW w:w="1620" w:type="dxa"/>
          </w:tcPr>
          <w:p w14:paraId="1675F00B" w14:textId="15D90397" w:rsidR="00472A88" w:rsidRDefault="00472A88" w:rsidP="00FE3BB7">
            <w:pPr>
              <w:jc w:val="center"/>
            </w:pPr>
            <w:r>
              <w:t>155-254</w:t>
            </w:r>
          </w:p>
        </w:tc>
        <w:tc>
          <w:tcPr>
            <w:tcW w:w="810" w:type="dxa"/>
          </w:tcPr>
          <w:p w14:paraId="0B37EBB5" w14:textId="4B5A5E55" w:rsidR="00472A88" w:rsidRDefault="00B67C23" w:rsidP="00FE3BB7">
            <w:pPr>
              <w:jc w:val="center"/>
            </w:pPr>
            <w:r>
              <w:t>0.49</w:t>
            </w:r>
          </w:p>
        </w:tc>
      </w:tr>
      <w:tr w:rsidR="00472A88" w14:paraId="1039A8E0" w14:textId="7B5A2F27" w:rsidTr="00472A88">
        <w:tc>
          <w:tcPr>
            <w:tcW w:w="1345" w:type="dxa"/>
          </w:tcPr>
          <w:p w14:paraId="43A41302" w14:textId="5400E9CA" w:rsidR="00472A88" w:rsidRDefault="00472A88" w:rsidP="00FE3BB7">
            <w:r>
              <w:t>151-200</w:t>
            </w:r>
          </w:p>
        </w:tc>
        <w:tc>
          <w:tcPr>
            <w:tcW w:w="1980" w:type="dxa"/>
          </w:tcPr>
          <w:p w14:paraId="087A0E8B" w14:textId="4215C113" w:rsidR="00472A88" w:rsidRDefault="00472A88" w:rsidP="00FE3BB7">
            <w:r>
              <w:t>Unhealthy</w:t>
            </w:r>
          </w:p>
        </w:tc>
        <w:tc>
          <w:tcPr>
            <w:tcW w:w="1620" w:type="dxa"/>
          </w:tcPr>
          <w:p w14:paraId="4D8CA3AA" w14:textId="5C64048A" w:rsidR="00472A88" w:rsidRDefault="00472A88" w:rsidP="00FE3BB7">
            <w:pPr>
              <w:jc w:val="center"/>
            </w:pPr>
            <w:r>
              <w:t>55.5-150.4</w:t>
            </w:r>
          </w:p>
        </w:tc>
        <w:tc>
          <w:tcPr>
            <w:tcW w:w="900" w:type="dxa"/>
          </w:tcPr>
          <w:p w14:paraId="5C9313A3" w14:textId="7E935AE1" w:rsidR="00472A88" w:rsidRDefault="00472A88" w:rsidP="00FE3BB7">
            <w:pPr>
              <w:jc w:val="center"/>
            </w:pPr>
            <w:r>
              <w:t>1.94</w:t>
            </w:r>
          </w:p>
        </w:tc>
        <w:tc>
          <w:tcPr>
            <w:tcW w:w="1620" w:type="dxa"/>
          </w:tcPr>
          <w:p w14:paraId="276FA14D" w14:textId="4FC53BC7" w:rsidR="00472A88" w:rsidRDefault="00472A88" w:rsidP="00FE3BB7">
            <w:pPr>
              <w:jc w:val="center"/>
            </w:pPr>
            <w:r>
              <w:t>255-354</w:t>
            </w:r>
          </w:p>
        </w:tc>
        <w:tc>
          <w:tcPr>
            <w:tcW w:w="810" w:type="dxa"/>
          </w:tcPr>
          <w:p w14:paraId="4DCFF868" w14:textId="0062852C" w:rsidR="00472A88" w:rsidRDefault="00B67C23" w:rsidP="00FE3BB7">
            <w:pPr>
              <w:jc w:val="center"/>
            </w:pPr>
            <w:r>
              <w:t>0.49</w:t>
            </w:r>
          </w:p>
        </w:tc>
      </w:tr>
      <w:tr w:rsidR="00472A88" w14:paraId="612A42DA" w14:textId="3E7996C2" w:rsidTr="00472A88">
        <w:tc>
          <w:tcPr>
            <w:tcW w:w="1345" w:type="dxa"/>
          </w:tcPr>
          <w:p w14:paraId="0F106608" w14:textId="579CD5CF" w:rsidR="00472A88" w:rsidRDefault="00472A88" w:rsidP="00FE3BB7">
            <w:r>
              <w:t>201-300</w:t>
            </w:r>
          </w:p>
        </w:tc>
        <w:tc>
          <w:tcPr>
            <w:tcW w:w="1980" w:type="dxa"/>
          </w:tcPr>
          <w:p w14:paraId="0326F8EB" w14:textId="36C35339" w:rsidR="00472A88" w:rsidRDefault="00472A88" w:rsidP="00FE3BB7">
            <w:r>
              <w:t>Very Unhealthy</w:t>
            </w:r>
          </w:p>
        </w:tc>
        <w:tc>
          <w:tcPr>
            <w:tcW w:w="1620" w:type="dxa"/>
          </w:tcPr>
          <w:p w14:paraId="09280D74" w14:textId="1AFD9A32" w:rsidR="00472A88" w:rsidRDefault="00472A88" w:rsidP="00FE3BB7">
            <w:pPr>
              <w:jc w:val="center"/>
            </w:pPr>
            <w:r>
              <w:t>150.5-250.4</w:t>
            </w:r>
          </w:p>
        </w:tc>
        <w:tc>
          <w:tcPr>
            <w:tcW w:w="900" w:type="dxa"/>
          </w:tcPr>
          <w:p w14:paraId="75399780" w14:textId="43E7218A" w:rsidR="00472A88" w:rsidRDefault="00472A88" w:rsidP="00FE3BB7">
            <w:pPr>
              <w:jc w:val="center"/>
            </w:pPr>
            <w:r>
              <w:t>1.01</w:t>
            </w:r>
          </w:p>
        </w:tc>
        <w:tc>
          <w:tcPr>
            <w:tcW w:w="1620" w:type="dxa"/>
          </w:tcPr>
          <w:p w14:paraId="6098CE34" w14:textId="116545F6" w:rsidR="00472A88" w:rsidRDefault="00472A88" w:rsidP="00FE3BB7">
            <w:pPr>
              <w:jc w:val="center"/>
            </w:pPr>
            <w:r>
              <w:t>355-424</w:t>
            </w:r>
          </w:p>
        </w:tc>
        <w:tc>
          <w:tcPr>
            <w:tcW w:w="810" w:type="dxa"/>
          </w:tcPr>
          <w:p w14:paraId="5999564F" w14:textId="51862AC0" w:rsidR="00472A88" w:rsidRDefault="00B67C23" w:rsidP="00FE3BB7">
            <w:pPr>
              <w:jc w:val="center"/>
            </w:pPr>
            <w:r>
              <w:t>1.43</w:t>
            </w:r>
          </w:p>
        </w:tc>
      </w:tr>
      <w:tr w:rsidR="00472A88" w14:paraId="673617B3" w14:textId="6A90F9A0" w:rsidTr="00472A88">
        <w:tc>
          <w:tcPr>
            <w:tcW w:w="1345" w:type="dxa"/>
          </w:tcPr>
          <w:p w14:paraId="2D5386C1" w14:textId="7E5C7032" w:rsidR="00472A88" w:rsidRDefault="00472A88" w:rsidP="00FE3BB7">
            <w:r>
              <w:t>301-500</w:t>
            </w:r>
          </w:p>
        </w:tc>
        <w:tc>
          <w:tcPr>
            <w:tcW w:w="1980" w:type="dxa"/>
          </w:tcPr>
          <w:p w14:paraId="7865609E" w14:textId="3B491ABC" w:rsidR="00472A88" w:rsidRDefault="00472A88" w:rsidP="00FE3BB7">
            <w:r>
              <w:t>Hazardous</w:t>
            </w:r>
          </w:p>
        </w:tc>
        <w:tc>
          <w:tcPr>
            <w:tcW w:w="1620" w:type="dxa"/>
          </w:tcPr>
          <w:p w14:paraId="64388AAD" w14:textId="735D1977" w:rsidR="00472A88" w:rsidRDefault="00472A88" w:rsidP="00FE3BB7">
            <w:pPr>
              <w:jc w:val="center"/>
            </w:pPr>
            <w:r>
              <w:t>250.5-500.4</w:t>
            </w:r>
          </w:p>
        </w:tc>
        <w:tc>
          <w:tcPr>
            <w:tcW w:w="900" w:type="dxa"/>
          </w:tcPr>
          <w:p w14:paraId="72C4028E" w14:textId="6588152A" w:rsidR="00472A88" w:rsidRDefault="00472A88" w:rsidP="00FE3BB7">
            <w:pPr>
              <w:jc w:val="center"/>
            </w:pPr>
            <w:r>
              <w:t>1.26</w:t>
            </w:r>
          </w:p>
        </w:tc>
        <w:tc>
          <w:tcPr>
            <w:tcW w:w="1620" w:type="dxa"/>
          </w:tcPr>
          <w:p w14:paraId="682D03A9" w14:textId="3D75FEFD" w:rsidR="00472A88" w:rsidRDefault="00472A88" w:rsidP="00FE3BB7">
            <w:pPr>
              <w:jc w:val="center"/>
            </w:pPr>
            <w:r>
              <w:t>425-604</w:t>
            </w:r>
          </w:p>
        </w:tc>
        <w:tc>
          <w:tcPr>
            <w:tcW w:w="810" w:type="dxa"/>
          </w:tcPr>
          <w:p w14:paraId="56C562AA" w14:textId="251BF0A8" w:rsidR="00472A88" w:rsidRDefault="00B67C23" w:rsidP="00FE3BB7">
            <w:pPr>
              <w:jc w:val="center"/>
            </w:pPr>
            <w:r>
              <w:t>1.11</w:t>
            </w:r>
          </w:p>
        </w:tc>
      </w:tr>
    </w:tbl>
    <w:p w14:paraId="47B160E7" w14:textId="30A0DAB4" w:rsidR="00FE3BB7" w:rsidRDefault="00FE3BB7"/>
    <w:p w14:paraId="6C971858" w14:textId="46D12D56" w:rsidR="00B67C23" w:rsidRDefault="002F79AB" w:rsidP="00B67C23">
      <w:r>
        <w:t xml:space="preserve">The AQI ratings in the above table apply only to PM2.5 and PM10.0 measurements. There are no equivalent AQI ratings for smaller particle masses, but the </w:t>
      </w:r>
      <w:proofErr w:type="spellStart"/>
      <w:r>
        <w:t>Plantower</w:t>
      </w:r>
      <w:proofErr w:type="spellEnd"/>
      <w:r>
        <w:t xml:space="preserve"> device measures counts of particles at 0.3 µm, 0.5 µm, 1.0 µm, 2.5 µm, 5.0 µm and 10.0 µm and masses of particles per cubic meter at 1.0 µm, 2.5 µm and 10.0 µm.  The latter mass measurements come in “standard” or laboratory adjusted measurements and “environment” or atmospheric measurements. These make different assumptions about how to convert the raw data and experimenters have determined that for typical use the environmental measures should be used.  All of the raw data is available if you are creating your own measures that use different assumptions. </w:t>
      </w:r>
    </w:p>
    <w:p w14:paraId="78400578" w14:textId="4B1ED35A" w:rsidR="00B67C23" w:rsidRDefault="00B67C23" w:rsidP="00B67C23"/>
    <w:p w14:paraId="5FC202C0" w14:textId="77777777" w:rsidR="00D44E91" w:rsidRDefault="00B67C23" w:rsidP="00852C60">
      <w:r>
        <w:lastRenderedPageBreak/>
        <w:t>The sensors on the PM2.5 and the Clue do not give us the other AQI pollutant measures for ozone, CO, SO</w:t>
      </w:r>
      <w:r>
        <w:rPr>
          <w:vertAlign w:val="subscript"/>
        </w:rPr>
        <w:t>2</w:t>
      </w:r>
      <w:r>
        <w:t xml:space="preserve"> or NO</w:t>
      </w:r>
      <w:r>
        <w:rPr>
          <w:vertAlign w:val="subscript"/>
        </w:rPr>
        <w:t>2</w:t>
      </w:r>
      <w:r>
        <w:t xml:space="preserve">. </w:t>
      </w:r>
      <w:r w:rsidR="00D44E91">
        <w:t xml:space="preserve">For a complete AQI monitoring system, additional sensors, available from </w:t>
      </w:r>
      <w:proofErr w:type="spellStart"/>
      <w:r w:rsidR="00D44E91">
        <w:t>Sparkfun</w:t>
      </w:r>
      <w:proofErr w:type="spellEnd"/>
      <w:r w:rsidR="00D44E91">
        <w:t xml:space="preserve">, can be integrated into a more complex device. </w:t>
      </w:r>
    </w:p>
    <w:p w14:paraId="10957CED" w14:textId="77777777" w:rsidR="00D44E91" w:rsidRDefault="00D44E91" w:rsidP="00852C60"/>
    <w:p w14:paraId="58581A3E" w14:textId="30F05FBC" w:rsidR="00852C60" w:rsidRDefault="00852C60" w:rsidP="00852C60">
      <w:r>
        <w:t xml:space="preserve">The guidance from AQI Technical Assistance Document published by the EPA (Sept 2018) provides information on how to calculate AQI across all of the pollutant measures, if they are available.  </w:t>
      </w:r>
      <w:r w:rsidRPr="00852C60">
        <w:t>The AQI is the highest value calculated for each pollutant</w:t>
      </w:r>
      <w:r>
        <w:t xml:space="preserve"> by i</w:t>
      </w:r>
      <w:r w:rsidRPr="00852C60">
        <w:t>dentify</w:t>
      </w:r>
      <w:r>
        <w:t>ing</w:t>
      </w:r>
      <w:r w:rsidRPr="00852C60">
        <w:t xml:space="preserve"> the highest concentration among all of the monitors and truncate as follows: </w:t>
      </w:r>
    </w:p>
    <w:p w14:paraId="0026413E" w14:textId="77777777" w:rsidR="00852C60" w:rsidRDefault="00852C60" w:rsidP="00852C60"/>
    <w:p w14:paraId="1BA4FD77" w14:textId="77777777" w:rsidR="00852C60" w:rsidRDefault="00852C60" w:rsidP="00852C60">
      <w:pPr>
        <w:pStyle w:val="ListParagraph"/>
        <w:numPr>
          <w:ilvl w:val="0"/>
          <w:numId w:val="3"/>
        </w:numPr>
      </w:pPr>
      <w:r w:rsidRPr="00852C60">
        <w:t xml:space="preserve">Ozone (ppm) – truncate to 3 decimal places </w:t>
      </w:r>
    </w:p>
    <w:p w14:paraId="46F91970" w14:textId="08FD4F40" w:rsidR="00852C60" w:rsidRDefault="00852C60" w:rsidP="00852C60">
      <w:pPr>
        <w:pStyle w:val="ListParagraph"/>
        <w:numPr>
          <w:ilvl w:val="0"/>
          <w:numId w:val="3"/>
        </w:numPr>
      </w:pPr>
      <w:r w:rsidRPr="00852C60">
        <w:t>PM2.5 (µg/m</w:t>
      </w:r>
      <w:r>
        <w:rPr>
          <w:vertAlign w:val="superscript"/>
        </w:rPr>
        <w:t>3</w:t>
      </w:r>
      <w:r w:rsidRPr="00852C60">
        <w:t xml:space="preserve">) – truncate to 1 decimal place </w:t>
      </w:r>
    </w:p>
    <w:p w14:paraId="24817621" w14:textId="37595732" w:rsidR="00852C60" w:rsidRDefault="00852C60" w:rsidP="00852C60">
      <w:pPr>
        <w:pStyle w:val="ListParagraph"/>
        <w:numPr>
          <w:ilvl w:val="0"/>
          <w:numId w:val="3"/>
        </w:numPr>
      </w:pPr>
      <w:r w:rsidRPr="00852C60">
        <w:t>PM10 (µg/m</w:t>
      </w:r>
      <w:r>
        <w:rPr>
          <w:vertAlign w:val="superscript"/>
        </w:rPr>
        <w:t>3</w:t>
      </w:r>
      <w:r w:rsidRPr="00852C60">
        <w:t xml:space="preserve">) – truncate to integer </w:t>
      </w:r>
    </w:p>
    <w:p w14:paraId="58F6E4D0" w14:textId="77777777" w:rsidR="00852C60" w:rsidRDefault="00852C60" w:rsidP="00852C60">
      <w:pPr>
        <w:pStyle w:val="ListParagraph"/>
        <w:numPr>
          <w:ilvl w:val="0"/>
          <w:numId w:val="3"/>
        </w:numPr>
      </w:pPr>
      <w:r w:rsidRPr="00852C60">
        <w:t xml:space="preserve">CO (ppm) – truncate to 1 decimal place </w:t>
      </w:r>
    </w:p>
    <w:p w14:paraId="3FDF8C43" w14:textId="465D8784" w:rsidR="00852C60" w:rsidRDefault="00852C60" w:rsidP="00852C60">
      <w:pPr>
        <w:pStyle w:val="ListParagraph"/>
        <w:numPr>
          <w:ilvl w:val="0"/>
          <w:numId w:val="3"/>
        </w:numPr>
      </w:pPr>
      <w:r w:rsidRPr="00852C60">
        <w:t>SO</w:t>
      </w:r>
      <w:r>
        <w:rPr>
          <w:vertAlign w:val="subscript"/>
        </w:rPr>
        <w:t>2</w:t>
      </w:r>
      <w:r w:rsidRPr="00852C60">
        <w:t xml:space="preserve"> (ppb) – truncate to integer </w:t>
      </w:r>
    </w:p>
    <w:p w14:paraId="316E7EE3" w14:textId="50CC9306" w:rsidR="00852C60" w:rsidRDefault="00852C60" w:rsidP="00852C60">
      <w:pPr>
        <w:pStyle w:val="ListParagraph"/>
        <w:numPr>
          <w:ilvl w:val="0"/>
          <w:numId w:val="3"/>
        </w:numPr>
      </w:pPr>
      <w:r w:rsidRPr="00852C60">
        <w:t>NO</w:t>
      </w:r>
      <w:r>
        <w:rPr>
          <w:vertAlign w:val="subscript"/>
        </w:rPr>
        <w:t>2</w:t>
      </w:r>
      <w:r w:rsidRPr="00852C60">
        <w:t xml:space="preserve"> (ppb) – truncate to integer</w:t>
      </w:r>
    </w:p>
    <w:p w14:paraId="7C1AC205" w14:textId="31103AF9" w:rsidR="00852C60" w:rsidRDefault="00852C60" w:rsidP="00852C60"/>
    <w:p w14:paraId="56B3269A" w14:textId="29F0ADAB" w:rsidR="00852C60" w:rsidRPr="00852C60" w:rsidRDefault="00852C60" w:rsidP="00852C60">
      <w:r>
        <w:t xml:space="preserve">Using the breakpoints table, find the upper and lower </w:t>
      </w:r>
    </w:p>
    <w:p w14:paraId="789F0493" w14:textId="77069145" w:rsidR="00B67C23" w:rsidRDefault="00B67C23" w:rsidP="00B67C23"/>
    <w:p w14:paraId="039A3893" w14:textId="4E7911E7" w:rsidR="00B67C23" w:rsidRDefault="00B67C23" w:rsidP="00B67C23"/>
    <w:p w14:paraId="15B0B518" w14:textId="7BAB7716" w:rsidR="00B67C23" w:rsidRDefault="00B67C23" w:rsidP="00B67C23">
      <w:pPr>
        <w:pStyle w:val="Heading3"/>
      </w:pPr>
      <w:bookmarkStart w:id="4" w:name="_Toc52606486"/>
      <w:r>
        <w:t>Time Averaging Measurements</w:t>
      </w:r>
      <w:bookmarkEnd w:id="4"/>
    </w:p>
    <w:p w14:paraId="7C047DD3" w14:textId="75DC3E95" w:rsidR="00B67C23" w:rsidRDefault="00B67C23" w:rsidP="00B67C23">
      <w:r>
        <w:t>The standard for reporting on AQI Category from particulate measurements is a 24-hour average.  That’s appropriate for general weather reporting to give a sense of the overall pollutant load in the air, but for a personal sensor shorter time averaging seems appropriate. The guidance from the EPA for shorter times is to use 12 hours for medium term averages and 3 hours for “real-time</w:t>
      </w:r>
      <w:r w:rsidR="00A43149">
        <w:t xml:space="preserve">” reporting. A personal AQI monitor might also provide 1 hour and </w:t>
      </w:r>
      <w:r w:rsidR="006A0464">
        <w:t>5-minute</w:t>
      </w:r>
      <w:r w:rsidR="00A43149">
        <w:t xml:space="preserve"> averaging options.  </w:t>
      </w:r>
    </w:p>
    <w:p w14:paraId="4D18B6ED" w14:textId="482E848E" w:rsidR="00A43149" w:rsidRDefault="00A43149" w:rsidP="00B67C23"/>
    <w:p w14:paraId="3BA008FD" w14:textId="7CFC13EC" w:rsidR="00A43149" w:rsidRDefault="00A43149" w:rsidP="00B67C23">
      <w:r>
        <w:t xml:space="preserve">In all cases, the time averaging should be available for display at any time so the monitor should be accumulating the data so that it can report the full time averaged statistic as well as providing historical trends for the day, week or month, if the sensor is kept running continuously.  </w:t>
      </w:r>
    </w:p>
    <w:p w14:paraId="6D9545FC" w14:textId="12AABB20" w:rsidR="00A43149" w:rsidRDefault="00A43149" w:rsidP="00B67C23"/>
    <w:p w14:paraId="3AD987BA" w14:textId="1CBFB1E4" w:rsidR="00A43149" w:rsidRDefault="00A43149" w:rsidP="00B67C23">
      <w:r>
        <w:t>For any of the time averaging and trend data handling it’s clear that the monitor must handle missing data.</w:t>
      </w:r>
    </w:p>
    <w:p w14:paraId="01182BC2" w14:textId="1753603C" w:rsidR="00D97AB2" w:rsidRDefault="00D97AB2" w:rsidP="00B67C23"/>
    <w:p w14:paraId="0DC6EDC8" w14:textId="77777777" w:rsidR="00D97AB2" w:rsidRPr="00D97AB2" w:rsidRDefault="00D97AB2" w:rsidP="00D97AB2">
      <w:r w:rsidRPr="00D97AB2">
        <w:t>Each ring represents an average for a time range:</w:t>
      </w:r>
    </w:p>
    <w:p w14:paraId="239CBDA5" w14:textId="77777777" w:rsidR="00D97AB2" w:rsidRPr="00D97AB2" w:rsidRDefault="00D97AB2" w:rsidP="00D97AB2">
      <w:r w:rsidRPr="00D97AB2">
        <w:t>Center of the circle = Real time average</w:t>
      </w:r>
      <w:r w:rsidRPr="00D97AB2">
        <w:br/>
        <w:t>1st ring = Short-term average</w:t>
      </w:r>
      <w:r w:rsidRPr="00D97AB2">
        <w:br/>
        <w:t>2nd ring = 30-minute average</w:t>
      </w:r>
      <w:r w:rsidRPr="00D97AB2">
        <w:br/>
        <w:t>3rd ring = 1-hour average</w:t>
      </w:r>
      <w:r w:rsidRPr="00D97AB2">
        <w:br/>
        <w:t>4th ring = 6-hour average</w:t>
      </w:r>
      <w:r w:rsidRPr="00D97AB2">
        <w:br/>
        <w:t>5th ring = 24-hour average</w:t>
      </w:r>
      <w:r w:rsidRPr="00D97AB2">
        <w:br/>
        <w:t>6th ring = 1-week average</w:t>
      </w:r>
    </w:p>
    <w:p w14:paraId="749F9E75" w14:textId="1AFA009F" w:rsidR="00D97AB2" w:rsidRDefault="00D97AB2" w:rsidP="00B67C23"/>
    <w:p w14:paraId="03F6872B" w14:textId="4D6AADD1" w:rsidR="00D97AB2" w:rsidRDefault="00D97AB2" w:rsidP="00B67C23">
      <w:r>
        <w:t xml:space="preserve">Paper slides showing conversion from </w:t>
      </w:r>
      <w:proofErr w:type="spellStart"/>
      <w:r>
        <w:t>Plantower</w:t>
      </w:r>
      <w:proofErr w:type="spellEnd"/>
      <w:r>
        <w:t xml:space="preserve"> (</w:t>
      </w:r>
      <w:proofErr w:type="spellStart"/>
      <w:r>
        <w:t>PurpleAir</w:t>
      </w:r>
      <w:proofErr w:type="spellEnd"/>
      <w:r>
        <w:t>) readings to EPA AQI</w:t>
      </w:r>
    </w:p>
    <w:p w14:paraId="0991FACF" w14:textId="5495F5EE" w:rsidR="00D97AB2" w:rsidRDefault="00D97AB2" w:rsidP="00B67C23">
      <w:hyperlink r:id="rId5" w:history="1">
        <w:r w:rsidRPr="004E41B3">
          <w:rPr>
            <w:rStyle w:val="Hyperlink"/>
          </w:rPr>
          <w:t>http://lar.wsu.edu/nw-airquest/docs/20200610_meeting/NWAQ_20200611_1030_Hadley.pdf</w:t>
        </w:r>
      </w:hyperlink>
      <w:r>
        <w:t xml:space="preserve"> </w:t>
      </w:r>
    </w:p>
    <w:p w14:paraId="18088C45" w14:textId="77777777" w:rsidR="00D97AB2" w:rsidRDefault="00D97AB2" w:rsidP="00B67C23"/>
    <w:p w14:paraId="2B90DE1D" w14:textId="77777777" w:rsidR="00D97AB2" w:rsidRDefault="00D97AB2" w:rsidP="00D97AB2">
      <w:r w:rsidRPr="00D97AB2">
        <w:t xml:space="preserve">Purple Air website includes optional correction for PM2.5: </w:t>
      </w:r>
    </w:p>
    <w:p w14:paraId="75E0132B" w14:textId="77777777" w:rsidR="00D97AB2" w:rsidRDefault="00D97AB2" w:rsidP="00D97AB2">
      <w:pPr>
        <w:pStyle w:val="ListParagraph"/>
        <w:numPr>
          <w:ilvl w:val="0"/>
          <w:numId w:val="4"/>
        </w:numPr>
      </w:pPr>
      <w:r w:rsidRPr="00D97AB2">
        <w:t xml:space="preserve">LRAPA: (PM2.5 = 0.5PA-0.66) </w:t>
      </w:r>
    </w:p>
    <w:p w14:paraId="10D69268" w14:textId="1E386DFC" w:rsidR="00D97AB2" w:rsidRPr="00D97AB2" w:rsidRDefault="00D97AB2" w:rsidP="00D97AB2">
      <w:pPr>
        <w:pStyle w:val="ListParagraph"/>
        <w:numPr>
          <w:ilvl w:val="0"/>
          <w:numId w:val="4"/>
        </w:numPr>
      </w:pPr>
      <w:r w:rsidRPr="00D97AB2">
        <w:t xml:space="preserve">AQ&amp;U (PM2.5 = 0.77PA +2.6) </w:t>
      </w:r>
    </w:p>
    <w:p w14:paraId="1881BE6E" w14:textId="256E06DE" w:rsidR="006A0464" w:rsidRDefault="006A0464" w:rsidP="00B67C23"/>
    <w:p w14:paraId="090A4825" w14:textId="5315502C" w:rsidR="00852C60" w:rsidRDefault="00D97AB2" w:rsidP="00B67C23">
      <w:r>
        <w:t>Some polynomial fits are better than the linear fitted line.</w:t>
      </w:r>
    </w:p>
    <w:p w14:paraId="73B181F8" w14:textId="4CCBC66E" w:rsidR="00D97AB2" w:rsidRDefault="00D97AB2" w:rsidP="00B67C23">
      <w:r>
        <w:t>Higher relative humidity increases the apparent size of particles and causes different counts than nephelometers which take samples and put them in standard RH environment.</w:t>
      </w:r>
    </w:p>
    <w:p w14:paraId="408837F6" w14:textId="4533DEFB" w:rsidR="00D97AB2" w:rsidRDefault="00D97AB2" w:rsidP="00B67C23">
      <w:r>
        <w:t xml:space="preserve">The correlation between nephelometer and </w:t>
      </w:r>
      <w:proofErr w:type="spellStart"/>
      <w:r>
        <w:t>Plantower</w:t>
      </w:r>
      <w:proofErr w:type="spellEnd"/>
      <w:r>
        <w:t xml:space="preserve"> with PM2.5 counts is a sigmoidal curve</w:t>
      </w:r>
    </w:p>
    <w:p w14:paraId="71FE09EA" w14:textId="39CF41D5" w:rsidR="002F79AB" w:rsidRDefault="002F79AB" w:rsidP="00B67C23"/>
    <w:p w14:paraId="5F1D4A8A" w14:textId="27EDFFDD" w:rsidR="002F79AB" w:rsidRPr="00B67C23" w:rsidRDefault="002F79AB" w:rsidP="00B67C23">
      <w:r>
        <w:t xml:space="preserve">AQI Monitor Design </w:t>
      </w:r>
    </w:p>
    <w:sectPr w:rsidR="002F79AB" w:rsidRPr="00B6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CE8"/>
    <w:multiLevelType w:val="hybridMultilevel"/>
    <w:tmpl w:val="8FFE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30BA2"/>
    <w:multiLevelType w:val="hybridMultilevel"/>
    <w:tmpl w:val="E1D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B51AF"/>
    <w:multiLevelType w:val="hybridMultilevel"/>
    <w:tmpl w:val="CF5E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446F4"/>
    <w:multiLevelType w:val="hybridMultilevel"/>
    <w:tmpl w:val="7F5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23"/>
    <w:rsid w:val="0010293A"/>
    <w:rsid w:val="00103B23"/>
    <w:rsid w:val="00197F25"/>
    <w:rsid w:val="002F79AB"/>
    <w:rsid w:val="00472A88"/>
    <w:rsid w:val="006A0464"/>
    <w:rsid w:val="00852C60"/>
    <w:rsid w:val="009551F0"/>
    <w:rsid w:val="00A43149"/>
    <w:rsid w:val="00B67C23"/>
    <w:rsid w:val="00D44E91"/>
    <w:rsid w:val="00D97AB2"/>
    <w:rsid w:val="00FE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D54B"/>
  <w15:chartTrackingRefBased/>
  <w15:docId w15:val="{96FEB7A0-5EF5-D44D-BC92-9827859F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B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C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B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3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C23"/>
    <w:pPr>
      <w:ind w:left="720"/>
      <w:contextualSpacing/>
    </w:pPr>
  </w:style>
  <w:style w:type="character" w:customStyle="1" w:styleId="Heading3Char">
    <w:name w:val="Heading 3 Char"/>
    <w:basedOn w:val="DefaultParagraphFont"/>
    <w:link w:val="Heading3"/>
    <w:uiPriority w:val="9"/>
    <w:rsid w:val="00B67C23"/>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97A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AB2"/>
    <w:rPr>
      <w:rFonts w:ascii="Times New Roman" w:hAnsi="Times New Roman" w:cs="Times New Roman"/>
      <w:sz w:val="18"/>
      <w:szCs w:val="18"/>
    </w:rPr>
  </w:style>
  <w:style w:type="character" w:styleId="Hyperlink">
    <w:name w:val="Hyperlink"/>
    <w:basedOn w:val="DefaultParagraphFont"/>
    <w:uiPriority w:val="99"/>
    <w:unhideWhenUsed/>
    <w:rsid w:val="00D97AB2"/>
    <w:rPr>
      <w:color w:val="0563C1" w:themeColor="hyperlink"/>
      <w:u w:val="single"/>
    </w:rPr>
  </w:style>
  <w:style w:type="character" w:styleId="UnresolvedMention">
    <w:name w:val="Unresolved Mention"/>
    <w:basedOn w:val="DefaultParagraphFont"/>
    <w:uiPriority w:val="99"/>
    <w:semiHidden/>
    <w:unhideWhenUsed/>
    <w:rsid w:val="00D97AB2"/>
    <w:rPr>
      <w:color w:val="605E5C"/>
      <w:shd w:val="clear" w:color="auto" w:fill="E1DFDD"/>
    </w:rPr>
  </w:style>
  <w:style w:type="paragraph" w:styleId="TOC1">
    <w:name w:val="toc 1"/>
    <w:basedOn w:val="Normal"/>
    <w:next w:val="Normal"/>
    <w:autoRedefine/>
    <w:uiPriority w:val="39"/>
    <w:unhideWhenUsed/>
    <w:rsid w:val="002F79AB"/>
    <w:pPr>
      <w:spacing w:before="120"/>
    </w:pPr>
    <w:rPr>
      <w:b/>
      <w:bCs/>
      <w:i/>
      <w:iCs/>
    </w:rPr>
  </w:style>
  <w:style w:type="paragraph" w:styleId="TOC2">
    <w:name w:val="toc 2"/>
    <w:basedOn w:val="Normal"/>
    <w:next w:val="Normal"/>
    <w:autoRedefine/>
    <w:uiPriority w:val="39"/>
    <w:unhideWhenUsed/>
    <w:rsid w:val="002F79AB"/>
    <w:pPr>
      <w:spacing w:before="120"/>
      <w:ind w:left="240"/>
    </w:pPr>
    <w:rPr>
      <w:b/>
      <w:bCs/>
      <w:sz w:val="22"/>
      <w:szCs w:val="22"/>
    </w:rPr>
  </w:style>
  <w:style w:type="paragraph" w:styleId="TOC3">
    <w:name w:val="toc 3"/>
    <w:basedOn w:val="Normal"/>
    <w:next w:val="Normal"/>
    <w:autoRedefine/>
    <w:uiPriority w:val="39"/>
    <w:unhideWhenUsed/>
    <w:rsid w:val="002F79AB"/>
    <w:pPr>
      <w:ind w:left="480"/>
    </w:pPr>
    <w:rPr>
      <w:sz w:val="20"/>
      <w:szCs w:val="20"/>
    </w:rPr>
  </w:style>
  <w:style w:type="paragraph" w:styleId="TOC4">
    <w:name w:val="toc 4"/>
    <w:basedOn w:val="Normal"/>
    <w:next w:val="Normal"/>
    <w:autoRedefine/>
    <w:uiPriority w:val="39"/>
    <w:unhideWhenUsed/>
    <w:rsid w:val="002F79AB"/>
    <w:pPr>
      <w:ind w:left="720"/>
    </w:pPr>
    <w:rPr>
      <w:sz w:val="20"/>
      <w:szCs w:val="20"/>
    </w:rPr>
  </w:style>
  <w:style w:type="paragraph" w:styleId="TOC5">
    <w:name w:val="toc 5"/>
    <w:basedOn w:val="Normal"/>
    <w:next w:val="Normal"/>
    <w:autoRedefine/>
    <w:uiPriority w:val="39"/>
    <w:unhideWhenUsed/>
    <w:rsid w:val="002F79AB"/>
    <w:pPr>
      <w:ind w:left="960"/>
    </w:pPr>
    <w:rPr>
      <w:sz w:val="20"/>
      <w:szCs w:val="20"/>
    </w:rPr>
  </w:style>
  <w:style w:type="paragraph" w:styleId="TOC6">
    <w:name w:val="toc 6"/>
    <w:basedOn w:val="Normal"/>
    <w:next w:val="Normal"/>
    <w:autoRedefine/>
    <w:uiPriority w:val="39"/>
    <w:unhideWhenUsed/>
    <w:rsid w:val="002F79AB"/>
    <w:pPr>
      <w:ind w:left="1200"/>
    </w:pPr>
    <w:rPr>
      <w:sz w:val="20"/>
      <w:szCs w:val="20"/>
    </w:rPr>
  </w:style>
  <w:style w:type="paragraph" w:styleId="TOC7">
    <w:name w:val="toc 7"/>
    <w:basedOn w:val="Normal"/>
    <w:next w:val="Normal"/>
    <w:autoRedefine/>
    <w:uiPriority w:val="39"/>
    <w:unhideWhenUsed/>
    <w:rsid w:val="002F79AB"/>
    <w:pPr>
      <w:ind w:left="1440"/>
    </w:pPr>
    <w:rPr>
      <w:sz w:val="20"/>
      <w:szCs w:val="20"/>
    </w:rPr>
  </w:style>
  <w:style w:type="paragraph" w:styleId="TOC8">
    <w:name w:val="toc 8"/>
    <w:basedOn w:val="Normal"/>
    <w:next w:val="Normal"/>
    <w:autoRedefine/>
    <w:uiPriority w:val="39"/>
    <w:unhideWhenUsed/>
    <w:rsid w:val="002F79AB"/>
    <w:pPr>
      <w:ind w:left="1680"/>
    </w:pPr>
    <w:rPr>
      <w:sz w:val="20"/>
      <w:szCs w:val="20"/>
    </w:rPr>
  </w:style>
  <w:style w:type="paragraph" w:styleId="TOC9">
    <w:name w:val="toc 9"/>
    <w:basedOn w:val="Normal"/>
    <w:next w:val="Normal"/>
    <w:autoRedefine/>
    <w:uiPriority w:val="39"/>
    <w:unhideWhenUsed/>
    <w:rsid w:val="002F79A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18699">
      <w:bodyDiv w:val="1"/>
      <w:marLeft w:val="0"/>
      <w:marRight w:val="0"/>
      <w:marTop w:val="0"/>
      <w:marBottom w:val="0"/>
      <w:divBdr>
        <w:top w:val="none" w:sz="0" w:space="0" w:color="auto"/>
        <w:left w:val="none" w:sz="0" w:space="0" w:color="auto"/>
        <w:bottom w:val="none" w:sz="0" w:space="0" w:color="auto"/>
        <w:right w:val="none" w:sz="0" w:space="0" w:color="auto"/>
      </w:divBdr>
    </w:div>
    <w:div w:id="409430488">
      <w:bodyDiv w:val="1"/>
      <w:marLeft w:val="0"/>
      <w:marRight w:val="0"/>
      <w:marTop w:val="0"/>
      <w:marBottom w:val="0"/>
      <w:divBdr>
        <w:top w:val="none" w:sz="0" w:space="0" w:color="auto"/>
        <w:left w:val="none" w:sz="0" w:space="0" w:color="auto"/>
        <w:bottom w:val="none" w:sz="0" w:space="0" w:color="auto"/>
        <w:right w:val="none" w:sz="0" w:space="0" w:color="auto"/>
      </w:divBdr>
    </w:div>
    <w:div w:id="562524497">
      <w:bodyDiv w:val="1"/>
      <w:marLeft w:val="0"/>
      <w:marRight w:val="0"/>
      <w:marTop w:val="0"/>
      <w:marBottom w:val="0"/>
      <w:divBdr>
        <w:top w:val="none" w:sz="0" w:space="0" w:color="auto"/>
        <w:left w:val="none" w:sz="0" w:space="0" w:color="auto"/>
        <w:bottom w:val="none" w:sz="0" w:space="0" w:color="auto"/>
        <w:right w:val="none" w:sz="0" w:space="0" w:color="auto"/>
      </w:divBdr>
    </w:div>
    <w:div w:id="791438790">
      <w:bodyDiv w:val="1"/>
      <w:marLeft w:val="0"/>
      <w:marRight w:val="0"/>
      <w:marTop w:val="0"/>
      <w:marBottom w:val="0"/>
      <w:divBdr>
        <w:top w:val="none" w:sz="0" w:space="0" w:color="auto"/>
        <w:left w:val="none" w:sz="0" w:space="0" w:color="auto"/>
        <w:bottom w:val="none" w:sz="0" w:space="0" w:color="auto"/>
        <w:right w:val="none" w:sz="0" w:space="0" w:color="auto"/>
      </w:divBdr>
    </w:div>
    <w:div w:id="14442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r.wsu.edu/nw-airquest/docs/20200610_meeting/NWAQ_20200611_1030_Hadle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673</Words>
  <Characters>4154</Characters>
  <Application>Microsoft Office Word</Application>
  <DocSecurity>0</DocSecurity>
  <Lines>143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4</cp:revision>
  <dcterms:created xsi:type="dcterms:W3CDTF">2020-09-26T14:45:00Z</dcterms:created>
  <dcterms:modified xsi:type="dcterms:W3CDTF">2020-10-03T15:39:00Z</dcterms:modified>
</cp:coreProperties>
</file>