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E1B2E"/>
          <w:spacing w:val="60"/>
          <w:sz w:val="52"/>
          <w:szCs w:val="52"/>
        </w:rPr>
        <w:t xml:space="preserve">ASTRAEA</w:t>
      </w:r>
    </w:p>
    <w:p>
      <w:pPr>
        <w:spacing w:after="380"/>
      </w:pPr>
      <w:r>
        <w:rPr>
          <w:rFonts w:ascii="Calibri" w:cs="Calibri" w:eastAsia="Calibri" w:hAnsi="Calibri"/>
          <w:color w:val="177B54"/>
          <w:spacing w:val="30"/>
          <w:sz w:val="20"/>
          <w:szCs w:val="20"/>
        </w:rPr>
        <w:t xml:space="preserve">BRAND &amp; MARKETING GUIDE — FOR THE WEB &amp; CREATIVE TEAM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E1B2E"/>
          <w:sz w:val="30"/>
          <w:szCs w:val="30"/>
        </w:rPr>
        <w:t xml:space="preserve">1. The Brand in One Breath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Astraea (the goddess of purity and justice — the last immortal to leave Earth, who became the constellation Virgo) is a supplement brand for people who read labels and trust none of them. Every batch of every product is tested by an independent, ISO 17025-accredited lab, and the results are published. Every package carries a QR code to those results. The tagline family: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Primary: "We don't ask you to trust us. We show you."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Short: "Nothing hidden."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Alternates: "Proof in every bottle." / "The label is the truth."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E1B2E"/>
          <w:sz w:val="30"/>
          <w:szCs w:val="30"/>
        </w:rPr>
        <w:t xml:space="preserve">2. Positioning &amp; Audience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7B54"/>
          <w:sz w:val="24"/>
          <w:szCs w:val="24"/>
        </w:rPr>
        <w:t xml:space="preserve">Positioning statement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For people who read labels and trust none of them, Astraea is the supplement brand that proves what's in the bottle — every batch, every ingredient, third-party tested, with the actual lab results one scan away. No proprietary blends, no hidden fillers, no claims we can't show you.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7B54"/>
          <w:sz w:val="24"/>
          <w:szCs w:val="24"/>
        </w:rPr>
        <w:t xml:space="preserve">Primary audiences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 Label Reader (30–55): researches everything, burned by the industry, converts on evidence not adjectives. Lead with the COA.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 Optimizing Athlete (20–40): buys creatine/protein/pre-workout; aware of spiking &amp; contamination scandals. Lead with tested potency.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 Wellness Pragmatist (28–50): wants a simple honest routine; loves the 28-day subscription rhythm. Lead with simplicity + proof.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7B54"/>
          <w:sz w:val="24"/>
          <w:szCs w:val="24"/>
        </w:rPr>
        <w:t xml:space="preserve">What we never do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No fake urgency, countdown gimmicks, or fabricated reviews. Credibility is the product.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No disease or treatment claims — structure/function only, with the FDA disclaimer (see Section 6).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No 'MAX STRENGTH' shouting, burst badges, or stock lab-coat imagery.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E1B2E"/>
          <w:sz w:val="30"/>
          <w:szCs w:val="30"/>
        </w:rPr>
        <w:t xml:space="preserve">3. Voice &amp; Message Architecture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Voice: calm, exact, unafraid of numbers. Short sentences. Specifics beat adjectives. The certificate aesthetic extends to copy — say the tested value, not 'premium quality.'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7B54"/>
          <w:sz w:val="24"/>
          <w:szCs w:val="24"/>
        </w:rPr>
        <w:t xml:space="preserve">Message hierarchy (use in this order)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1. The proof mechanism — scan any package, see that product's real lab results.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2. The formulation honesty — exact forms named (bisglycinate, KSM-66, MK-7); no proprietary blends; label = absorbed.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3. The rhythm — 28-day supply, one lunar cycle, subscription that matches how people actually live.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4. The story — the goddess who wouldn't abandon truth; the last one to leave. Use sparingly, as texture.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E1B2E"/>
          <w:sz w:val="30"/>
          <w:szCs w:val="30"/>
        </w:rPr>
        <w:t xml:space="preserve">4. Launch Campaign — "Check the Testing"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7B54"/>
          <w:sz w:val="24"/>
          <w:szCs w:val="24"/>
        </w:rPr>
        <w:t xml:space="preserve">Phase 1 · Waitlist (pre-launch, 4–6 weeks)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Hook: "37 supplements. Every batch tested. Every result published." Email capture on a one-page teaser.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Content: behind-the-scenes of the FIRST real batches being tested — the lab, the COAs, the pass banners. Authenticity is the ad.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7B54"/>
          <w:sz w:val="24"/>
          <w:szCs w:val="24"/>
        </w:rPr>
        <w:t xml:space="preserve">Phase 2 · Launch (weeks 1–4)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Hero moment: publish all launch COAs on day one — 'Our shelves opened with the receipts.'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Paid: transparency-led statics &amp; 15s videos (scan → results reveal). Target label-reader and athlete interest sets.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Organic: 'Scan it yourself' UGC prompt; founders scanning bottles; side-by-sides vs 'proprietary blend' labels.</w:t>
      </w:r>
    </w:p>
    <w:p>
      <w:pPr>
        <w:pStyle w:val="Heading2"/>
        <w:spacing w:after="110" w:before="220"/>
      </w:pPr>
      <w:r>
        <w:rPr>
          <w:rFonts w:ascii="Calibri" w:cs="Calibri" w:eastAsia="Calibri" w:hAnsi="Calibri"/>
          <w:b/>
          <w:bCs/>
          <w:color w:val="177B54"/>
          <w:sz w:val="24"/>
          <w:szCs w:val="24"/>
        </w:rPr>
        <w:t xml:space="preserve">Phase 3 · Proof compounds (ongoing)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Every new batch = new content: 'Lot 26-0187 just passed. Here's the report.'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Gummy angle: 'The first gummy brand that publishes potency through expiry.' (Category-unique claim.)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Education series: how to read a COA; why forms matter (oxide vs bisglycinate); what overages are.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E1B2E"/>
          <w:sz w:val="30"/>
          <w:szCs w:val="30"/>
        </w:rPr>
        <w:t xml:space="preserve">5. Channel Plan &amp; Email Flows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Email/SMS (Klaviyo): Welcome (the promise + how to scan) → Launch → Post-purchase ('your batch's results') → Subscription nudge (lunar cycle) → Winback.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Paid social (Meta/TikTok): proof-mechanism creative first; product-specific second (creatine assay, ashwagandha withanolides).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Organic social: batch-pass announcements, COA walk-throughs, founder voice.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SEO/Blog: ingredient-form education, testing explainers — the content only a transparency brand can write.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QR channel: every scan is measurable (UTM on QR URLs). Report scans as a first-class channel.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E1B2E"/>
          <w:sz w:val="30"/>
          <w:szCs w:val="30"/>
        </w:rPr>
        <w:t xml:space="preserve">6. Compliance Rails (read before writing any copy)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Structure/function claims ONLY: 'supports', 'helps maintain', 'promotes' — never 'treats', 'cures', 'prevents', or disease names.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The FDA disclaimer must accompany structure/function claims: "*These statements have not been evaluated by the Food and Drug Administration. This product is not intended to diagnose, treat, cure, or prevent any disease."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Every factual claim must be checkable: if it isn't on the label or the COA, it doesn't go in the 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Testimonials must be genuine and typical-experience framed; no health-outcome testimonials.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All final copy passes regulatory review before publication — budget line exists for this.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E1B2E"/>
          <w:sz w:val="30"/>
          <w:szCs w:val="30"/>
        </w:rPr>
        <w:t xml:space="preserve">7. Asset Checklist (what marketing produces)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Brand guidelines (final logo suite, tokens, usage) — from the identity concept.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Product photography: 37 SKUs white-background + lifestyle; real lab/COA photography (no stock).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Web: hero art, 'how testing works' diagram, collection headers — per the prototype.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Social templates (IG/TikTok post + story), paid statics + 15s video concepts.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Email templates for the five flows above; packaging insert: 'How to check your testing.'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Launch teaser page assets + waitlist creative.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50"/>
      </w:pPr>
      <w:r>
        <w:rPr>
          <w:rFonts w:ascii="Calibri" w:cs="Calibri" w:eastAsia="Calibri" w:hAnsi="Calibri"/>
          <w:i/>
          <w:iCs/>
          <w:color w:val="5A6478"/>
          <w:sz w:val="22"/>
          <w:szCs w:val="22"/>
        </w:rPr>
        <w:t xml:space="preserve">Companion documents: Astraea_Shopify_Build_Brief.xlsx (site scope &amp; batch-COA system), Astraea_PDP_Copy_Deck.xlsx (per-SKU website copy), Website Handoff zip (design tokens, mockups, clickable prototype).</w:t>
      </w:r>
    </w:p>
    <w:sectPr>
      <w:footerReference w:type="default" r:id="rId7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8296"/>
        <w:sz w:val="16"/>
        <w:szCs w:val="16"/>
      </w:rPr>
      <w:t xml:space="preserve">Astraea — Brand &amp; Marketing Guide · Page </w:t>
    </w:r>
    <w:r>
      <w:rPr>
        <w:rFonts w:ascii="Calibri" w:cs="Calibri" w:eastAsia="Calibri" w:hAnsi="Calibri"/>
        <w:color w:val="7A82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B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2026-07-13T23:18:07.374Z</dcterms:created>
  <dcterms:modified xsi:type="dcterms:W3CDTF">2026-07-13T23:18:07.383Z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