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6B206" w14:textId="77777777" w:rsidR="008D5ED3" w:rsidRDefault="0043196B">
      <w:pPr>
        <w:spacing w:after="40"/>
      </w:pPr>
      <w:r>
        <w:rPr>
          <w:b/>
          <w:bCs/>
          <w:color w:val="1F4E79"/>
          <w:sz w:val="44"/>
          <w:szCs w:val="44"/>
        </w:rPr>
        <w:t>SQL Sales Data Analysis</w:t>
      </w:r>
    </w:p>
    <w:p w14:paraId="72A6A8C0" w14:textId="6CD6429F" w:rsidR="008D5ED3" w:rsidRDefault="0043196B">
      <w:pPr>
        <w:pBdr>
          <w:bottom w:val="single" w:sz="12" w:space="8" w:color="1F4E79"/>
        </w:pBdr>
        <w:spacing w:after="300"/>
      </w:pPr>
      <w:r>
        <w:rPr>
          <w:i/>
          <w:iCs/>
          <w:color w:val="595959"/>
          <w:sz w:val="22"/>
          <w:szCs w:val="22"/>
        </w:rPr>
        <w:t>Summary Report — Queries</w:t>
      </w:r>
      <w:r w:rsidR="00CF2457">
        <w:rPr>
          <w:i/>
          <w:iCs/>
          <w:color w:val="595959"/>
          <w:sz w:val="22"/>
          <w:szCs w:val="22"/>
        </w:rPr>
        <w:t xml:space="preserve"> &amp;</w:t>
      </w:r>
      <w:r>
        <w:rPr>
          <w:i/>
          <w:iCs/>
          <w:color w:val="595959"/>
          <w:sz w:val="22"/>
          <w:szCs w:val="22"/>
        </w:rPr>
        <w:t xml:space="preserve"> Insights</w:t>
      </w:r>
    </w:p>
    <w:p w14:paraId="7EA4D0B9" w14:textId="77777777" w:rsidR="008D5ED3" w:rsidRDefault="0043196B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Executive Summary</w:t>
      </w:r>
    </w:p>
    <w:p w14:paraId="13E83688" w14:textId="77777777" w:rsidR="008D5ED3" w:rsidRDefault="0043196B">
      <w:pPr>
        <w:spacing w:after="120"/>
      </w:pPr>
      <w:r>
        <w:rPr>
          <w:sz w:val="21"/>
          <w:szCs w:val="21"/>
        </w:rPr>
        <w:t>This report documents an exploratory SQL analysis performed on a 2,823-row sales dataset spanning 307 orders, 92 customers, 19 countries, and 7 product lines, covering transactions from January 2003 to May 2005. The analysis moves through seven stages — dataset scoping, revenue, order status, product, customer, geography, and time — using consistent filtering logic to separate realized revenue (Shipped/Resolved orders) from unrealized revenue (all other statuses).</w:t>
      </w:r>
    </w:p>
    <w:p w14:paraId="3A7258BD" w14:textId="77777777" w:rsidR="008D5ED3" w:rsidRDefault="0043196B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1. Dataset Overview</w:t>
      </w:r>
    </w:p>
    <w:p w14:paraId="4FC32972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>SELECT COUNT(*) FROM sales;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SELECT COUNT(DISTINCT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ordernumber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FROM sales;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SELECT DISTINCT(status) FROM sales;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SELECT DISTINCT(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productline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FROM sales;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SELECT COUNT(DISTINCT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FROM sales;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SELECT COUNT(DISTINCT country), COUNT(DISTINCT territory) FROM sales;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SELECT DISTINCT(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dealsize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FROM sales;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SELECT MIN(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orderdate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), MAX(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orderdate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FROM sales;</w:t>
      </w:r>
    </w:p>
    <w:p w14:paraId="0D19CBA4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The dataset contains 2,823 rows across 307 distinct orders, 92 customers, 19 countries grouped into 4 territories, 7 product lines, 3 deal sizes, and 6 order statuses. Records span 6 January 2003 to 31 May 2005 — an important constraint, since 2005 only contains 5 months of data and will understate that year's totals in any year-over-year comparison.</w:t>
      </w:r>
    </w:p>
    <w:p w14:paraId="31A60229" w14:textId="77777777" w:rsidR="008D5ED3" w:rsidRDefault="0043196B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2. Revenue Analysis</w:t>
      </w:r>
    </w:p>
    <w:p w14:paraId="48AD9F7C" w14:textId="77777777" w:rsidR="008D5ED3" w:rsidRDefault="0043196B">
      <w:pPr>
        <w:spacing w:after="120"/>
      </w:pPr>
      <w:r>
        <w:rPr>
          <w:sz w:val="21"/>
          <w:szCs w:val="21"/>
        </w:rPr>
        <w:t>All revenue figures below are filtered to status IN ('Shipped', 'Resolved') to represent realized sales.</w:t>
      </w:r>
    </w:p>
    <w:p w14:paraId="47CC218D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>SELECT SUM(sales) 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'Resolved');</w:t>
      </w:r>
    </w:p>
    <w:p w14:paraId="7D2FFF54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Total realized revenue across the dataset is $9,442,219.36.</w:t>
      </w:r>
    </w:p>
    <w:p w14:paraId="356322F1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productline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SUM(sales)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productline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374040E8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Classic Cars is the top-revenue product line at $3,727,559.67, with Ships generating the least at $215,352.57.</w:t>
      </w:r>
    </w:p>
    <w:p w14:paraId="3706D774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SUM(sales)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1C844872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Euro Shopping Channel is the highest-value customer at $795,328.22; Boards &amp; Toys Co. is the lowest at $9,129.35.</w:t>
      </w:r>
    </w:p>
    <w:p w14:paraId="19DC05F3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country, SUM(sales)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GROUP BY country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28DCE829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lastRenderedPageBreak/>
        <w:t xml:space="preserve">Insight: </w:t>
      </w:r>
      <w:r>
        <w:rPr>
          <w:i/>
          <w:iCs/>
          <w:color w:val="595959"/>
        </w:rPr>
        <w:t>The USA leads all countries at $3,416,477.64 in revenue; Ireland is lowest at $57,756.43.</w:t>
      </w:r>
    </w:p>
    <w:p w14:paraId="3DC33F2B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territory, SUM(sales)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GROUP BY territory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065B1909" w14:textId="46F72924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 xml:space="preserve">EMEA and North America (NA) are the top two revenue territories, followed by APAC, with Japan generating the least </w:t>
      </w:r>
    </w:p>
    <w:p w14:paraId="6FDC1B86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dealsize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SUM(sales)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dealsize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6A18D8CA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Medium deals drive the most revenue ($5,737,563.42), followed by small ($2,515,376.84), with large deals lowest ($1,189,279.10) — suggesting large deals are rarer rather than less individually valuable.</w:t>
      </w:r>
    </w:p>
    <w:p w14:paraId="5641B9FD" w14:textId="77777777" w:rsidR="008D5ED3" w:rsidRDefault="0043196B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3. Order Status Analysis</w:t>
      </w:r>
    </w:p>
    <w:p w14:paraId="3288FB5F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>SELECT status, COUNT(*)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GROUP BY status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ORDER BY COUNT(*) DESC;</w:t>
      </w:r>
    </w:p>
    <w:p w14:paraId="4C204AE5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Shipped orders make up 2,617 rows (about 93% of the dataset); the remaining five statuses (Cancelled, Resolved, On Hold, In Process, Disputed) together account for roughly 14% combined, reflecting their much smaller volumes.</w:t>
      </w:r>
    </w:p>
    <w:p w14:paraId="0DE615CD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>SELECT status, SUM(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quantityordered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total_quantity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   ROUND(AVG(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quantityordered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avg_quantity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GROUP BY status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total_quantity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4EDF0E72" w14:textId="12F22A9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 xml:space="preserve">Shipped orders account for the highest total quantity (91,403 units, avg. 34.93/order). On Hold orders have the highest average order size (42.70 units), while Cancelled orders have the lowest average (33.97 units) </w:t>
      </w:r>
    </w:p>
    <w:p w14:paraId="5E3A155C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>SELECT SUM(sales) 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NOT IN ('Shipped', 'Resolved');</w:t>
      </w:r>
    </w:p>
    <w:p w14:paraId="7552647A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$590,409.49 in sales value sits in non-finalized statuses (Cancelled, On Hold, In Process, Disputed) — revenue at risk or still in the pipeline, depending on status.</w:t>
      </w:r>
    </w:p>
    <w:p w14:paraId="74E59866" w14:textId="77777777" w:rsidR="008D5ED3" w:rsidRDefault="0043196B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4. Product Analysis</w:t>
      </w:r>
    </w:p>
    <w:p w14:paraId="27147977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productline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SUM(CASE WHEN status IN ('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Shipped','Resolved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') THEN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quantityordered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END)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sold_goods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SUM(CASE WHEN status NOT IN ('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Shipped','Resolved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') THEN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quantityordered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END)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not_sold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productline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;</w:t>
      </w:r>
    </w:p>
    <w:p w14:paraId="5784A02C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Classic Cars leads in both sold (32,249 units) and not-sold (1,743 units) quantities, while Trains has the smallest footprint in both categories (2,622 sold / 90 not sold) — consistent with it being the lowest-volume product line overall.</w:t>
      </w:r>
    </w:p>
    <w:p w14:paraId="16019EF0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productline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ROUND(AVG(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priceeach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average_price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productline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average_price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573B26B1" w14:textId="6F589488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 xml:space="preserve">Trucks and Buses carry the highest average unit price ($87.57), while Trains are priced lowest on average ($75.01) </w:t>
      </w:r>
    </w:p>
    <w:p w14:paraId="13483569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 xml:space="preserve">WITH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product_country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AS (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SELECT country,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productline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SUM(sales)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GROUP BY country,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productline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),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product_ranking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AS (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SELECT *,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ROW_NUMBER() OVER (PARTITION BY country 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DESC) AS ranking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FROM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product_country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SELECT * FROM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product_ranking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WHERE ranking = 1;</w:t>
      </w:r>
    </w:p>
    <w:p w14:paraId="5435C034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Using a window function to rank product lines within each country (without collapsing the underlying rows) shows Classic Cars is the top-selling product line in 16 of the 19 countries, with Vintage Cars leading in 2 countries and Planes in 1 — indicating Classic Cars' dominance is broad-based rather than concentrated in one or two large markets.</w:t>
      </w:r>
    </w:p>
    <w:p w14:paraId="2D1B7A89" w14:textId="77777777" w:rsidR="008D5ED3" w:rsidRDefault="0043196B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5. Customer Analysis</w:t>
      </w:r>
    </w:p>
    <w:p w14:paraId="1238A5FA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SUM(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quantityordered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total_quantity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total_quantity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224410E2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Euro Shopping Channel also leads in units purchased (8,194), consistent with its top revenue ranking. Boards &amp; Toys Co. has the fewest units purchased (102), aligning with its low revenue position.</w:t>
      </w:r>
    </w:p>
    <w:p w14:paraId="28487642" w14:textId="77777777" w:rsidR="008D5ED3" w:rsidRDefault="0043196B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6. Geographical Analysis</w:t>
      </w:r>
    </w:p>
    <w:p w14:paraId="7EED98BD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>SELECT country,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COUNT(DISTINCT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no_of_customers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ROUND(SUM(sales) / COUNT(DISTINCT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customer_value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GROUP BY country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customer_value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7C0997E6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Customer count alone doesn't explain revenue: the USA has the most customers (35) and highest total revenue, but ranks only 10th in average revenue per customer. Spain has the highest revenue per customer ($219,744.21) from just 5 customers, while Belgium has the lowest ($50,000.34). France has the second-highest customer count but ranks 12th in per-customer value — a sign of a broad but shallow customer base worth targeting for account growth.</w:t>
      </w:r>
    </w:p>
    <w:p w14:paraId="17153B88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>SELECT territory,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COUNT(DISTINCT country)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no_of_countries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COUNT(DISTINCT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no_of_customers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ROUND(SUM(sales) / COUNT(DISTINCT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customername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), 2)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customer_value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GROUP BY territory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customer_value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24999651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APAC (2 countries, 6 customers) has the highest revenue per customer at $114,628.72, despite its small footprint. NA has the second-highest customer count (38) but the lowest per-customer value ($95,804.11). EMEA covers the most countries (13) and customers (44) but ranks second-lowest in per-customer value ($105,879.95) — indicating EMEA's revenue is driven by breadth rather than deep account value.</w:t>
      </w:r>
    </w:p>
    <w:p w14:paraId="332866F6" w14:textId="77777777" w:rsidR="008D5ED3" w:rsidRDefault="0043196B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7. Time-Based Analysis</w:t>
      </w:r>
    </w:p>
    <w:p w14:paraId="3002B46C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orderdate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SUM(sales)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orderdate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72D070E4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The single highest-revenue day was 24 November 2004 ($137,644.72); the lowest was 22 April 2005.</w:t>
      </w:r>
    </w:p>
    <w:p w14:paraId="4187DCFB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orderdate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ROUND(AVG(sales) OVER (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orderdate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ROWS BETWEEN 29 PRECEDING AND CURRENT ROW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), 2)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moving_average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orderdate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;</w:t>
      </w:r>
    </w:p>
    <w:p w14:paraId="1435504B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A 30-day moving average smooths out day-to-day noise and reveals the underlying trend: sales typically fluctuate between roughly $3,000 and $4,000, with sustained peaks approaching $5,000 (likely seasonal demand or promotions) and sustained troughs below $3,000. Because the window is 30 days wide, these highs and lows reflect genuine weeks-long shifts in performance rather than a handful of unusual days — a materially stronger claim than a raw daily chart would support.</w:t>
      </w:r>
    </w:p>
    <w:p w14:paraId="5C560F2E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year_id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COUNT(DISTINCT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month_id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no_of_months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SUM(sales)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year_id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total_sales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6C9151EB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2004 was the strongest year ($4,552,125.83), an increase of $1,083,857.21 over 2003. 2005 shows the lowest total ($1,421,824.91), but this reflects only 5 months of recorded data rather than a real decline — 2003 and 2004 both have full 12-month coverage.</w:t>
      </w:r>
    </w:p>
    <w:p w14:paraId="67BD72B0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year_id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qtr_id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SUM(sales) - LAG(SUM(sales)) OVER (ORDER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year_id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qtr_id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absolute_change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ROUND(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(SUM(sales) - LAG(SUM(sales)) OVER (ORDER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year_id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qtr_id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/ LAG(SUM(sales)) OVER (ORDER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year_id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qtr_id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* 100, 2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quarter_over_quarter_change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year_id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qtr_id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year_id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qtr_id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;</w:t>
      </w:r>
    </w:p>
    <w:p w14:paraId="69E5C0FF" w14:textId="77777777" w:rsidR="008D5ED3" w:rsidRDefault="0043196B">
      <w:pPr>
        <w:spacing w:before="60" w:after="200"/>
        <w:ind w:left="120"/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Using LAG() to compute quarter-over-quarter change surfaces real volatility: swings range from +178.57% to -67.37%. Q4 2003 shows a sharp surge consistent with seasonal effect; early 2004 drops well below zero, suggesting a post-holiday correction; Q4 2004 recovers but not as strongly as the prior year's surge; and 2005 shows a further decline, potentially cyclical or tied to external factors. Note: the first quarter in the series (Q1 2003) will return NULL for both columns, since LAG() has no prior row to reference.</w:t>
      </w:r>
    </w:p>
    <w:p w14:paraId="2E29E887" w14:textId="77777777" w:rsidR="008D5ED3" w:rsidRDefault="0043196B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80" w:after="80"/>
        <w:ind w:left="120" w:right="12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year_id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COUNT(DISTINCT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ordernumber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no_of_orders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>FROM sales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WHERE status IN ('Shipped', 'Resolved')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year_id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no_of_orders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DESC;</w:t>
      </w:r>
    </w:p>
    <w:p w14:paraId="00C6D42C" w14:textId="6F3A2FB1" w:rsidR="008D5ED3" w:rsidRPr="00CF2457" w:rsidRDefault="0043196B" w:rsidP="00CF2457">
      <w:pPr>
        <w:spacing w:before="60" w:after="200"/>
        <w:ind w:left="120"/>
        <w:rPr>
          <w:i/>
          <w:iCs/>
          <w:color w:val="595959"/>
        </w:rPr>
      </w:pPr>
      <w:r>
        <w:rPr>
          <w:b/>
          <w:bCs/>
          <w:i/>
          <w:iCs/>
          <w:color w:val="2E7D32"/>
        </w:rPr>
        <w:t xml:space="preserve">Insight: </w:t>
      </w:r>
      <w:r>
        <w:rPr>
          <w:i/>
          <w:iCs/>
          <w:color w:val="595959"/>
        </w:rPr>
        <w:t>Order volume tracks revenue closely: 2004 had the most orders (140), followed by 2003 (103) and partial-year 2005 (47).</w:t>
      </w:r>
    </w:p>
    <w:sectPr w:rsidR="008D5ED3" w:rsidRPr="00CF245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9043B"/>
    <w:multiLevelType w:val="hybridMultilevel"/>
    <w:tmpl w:val="FD5A069E"/>
    <w:lvl w:ilvl="0" w:tplc="1AC67A12">
      <w:start w:val="1"/>
      <w:numFmt w:val="bullet"/>
      <w:lvlText w:val="●"/>
      <w:lvlJc w:val="left"/>
      <w:pPr>
        <w:ind w:left="720" w:hanging="360"/>
      </w:pPr>
    </w:lvl>
    <w:lvl w:ilvl="1" w:tplc="610C9346">
      <w:start w:val="1"/>
      <w:numFmt w:val="bullet"/>
      <w:lvlText w:val="○"/>
      <w:lvlJc w:val="left"/>
      <w:pPr>
        <w:ind w:left="1440" w:hanging="360"/>
      </w:pPr>
    </w:lvl>
    <w:lvl w:ilvl="2" w:tplc="4948D85E">
      <w:start w:val="1"/>
      <w:numFmt w:val="bullet"/>
      <w:lvlText w:val="■"/>
      <w:lvlJc w:val="left"/>
      <w:pPr>
        <w:ind w:left="2160" w:hanging="360"/>
      </w:pPr>
    </w:lvl>
    <w:lvl w:ilvl="3" w:tplc="11E84C08">
      <w:start w:val="1"/>
      <w:numFmt w:val="bullet"/>
      <w:lvlText w:val="●"/>
      <w:lvlJc w:val="left"/>
      <w:pPr>
        <w:ind w:left="2880" w:hanging="360"/>
      </w:pPr>
    </w:lvl>
    <w:lvl w:ilvl="4" w:tplc="4012801A">
      <w:start w:val="1"/>
      <w:numFmt w:val="bullet"/>
      <w:lvlText w:val="○"/>
      <w:lvlJc w:val="left"/>
      <w:pPr>
        <w:ind w:left="3600" w:hanging="360"/>
      </w:pPr>
    </w:lvl>
    <w:lvl w:ilvl="5" w:tplc="FB1CF2FC">
      <w:start w:val="1"/>
      <w:numFmt w:val="bullet"/>
      <w:lvlText w:val="■"/>
      <w:lvlJc w:val="left"/>
      <w:pPr>
        <w:ind w:left="4320" w:hanging="360"/>
      </w:pPr>
    </w:lvl>
    <w:lvl w:ilvl="6" w:tplc="3434FF38">
      <w:start w:val="1"/>
      <w:numFmt w:val="bullet"/>
      <w:lvlText w:val="●"/>
      <w:lvlJc w:val="left"/>
      <w:pPr>
        <w:ind w:left="5040" w:hanging="360"/>
      </w:pPr>
    </w:lvl>
    <w:lvl w:ilvl="7" w:tplc="C66822A4">
      <w:start w:val="1"/>
      <w:numFmt w:val="bullet"/>
      <w:lvlText w:val="●"/>
      <w:lvlJc w:val="left"/>
      <w:pPr>
        <w:ind w:left="5760" w:hanging="360"/>
      </w:pPr>
    </w:lvl>
    <w:lvl w:ilvl="8" w:tplc="46D0F2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ED3"/>
    <w:rsid w:val="0043196B"/>
    <w:rsid w:val="0088392C"/>
    <w:rsid w:val="008D5ED3"/>
    <w:rsid w:val="00CF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E6DD"/>
  <w15:docId w15:val="{500E9751-8B2C-4A1E-927D-D7370E05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 Mulu</Company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Mulu</cp:lastModifiedBy>
  <cp:revision>3</cp:revision>
  <dcterms:created xsi:type="dcterms:W3CDTF">2026-07-22T06:06:00Z</dcterms:created>
  <dcterms:modified xsi:type="dcterms:W3CDTF">2026-07-22T07:37:00Z</dcterms:modified>
</cp:coreProperties>
</file>