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General:</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Manually compiled article differs from the “main.pdf” in the GitHub repo, review is done on GitHub variant.</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“Applying Monte Carlo and other sampling methods” – I could not find any more sampling methods applied in the article except Monte Carlo (please, use direct sampling methods names if there are not many and I somehow haven’t found them)</w:t>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b w:val="1"/>
          <w:sz w:val="28"/>
          <w:szCs w:val="28"/>
          <w:rtl w:val="0"/>
        </w:rPr>
        <w:t xml:space="preserve">Preliminaries:</w:t>
      </w:r>
      <w:r w:rsidDel="00000000" w:rsidR="00000000" w:rsidRPr="00000000">
        <w:rPr>
          <w:sz w:val="28"/>
          <w:szCs w:val="28"/>
          <w:rtl w:val="0"/>
        </w:rPr>
        <w:t xml:space="preserve"> </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“Fix a tolerance $\Delta &gt; 0$” – what does tolerance mean here?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Experiments: </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“All code and detailed configuration files are available in our GitHub repository” – no link to GitHub repo in the article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Section 5.1.1:</w:t>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Poor plot titles visibility – suggesting font size increase</w:t>
      </w:r>
    </w:p>
    <w:p w:rsidR="00000000" w:rsidDel="00000000" w:rsidP="00000000" w:rsidRDefault="00000000" w:rsidRPr="00000000" w14:paraId="00000014">
      <w:pPr>
        <w:rPr>
          <w:sz w:val="28"/>
          <w:szCs w:val="28"/>
        </w:rPr>
      </w:pPr>
      <w:r w:rsidDel="00000000" w:rsidR="00000000" w:rsidRPr="00000000">
        <w:rPr>
          <w:sz w:val="28"/>
          <w:szCs w:val="28"/>
          <w:rtl w:val="0"/>
        </w:rPr>
        <w:t xml:space="preserve">Lost minuses on one of the axis on each image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Section 5.1.2:</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“alongside to highlight an O(1/k) convergence rate” – but the function is delta_k * k^2 and on the plot (Figure 4) it’s seen that delta_k * k^2 is nearly constant while varying value of k. Maybe convergence rate in reality is O(1/k^2)? If this is a mistake, it should be fixed further in the section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Section 5.2:</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“and our tests on Fashion-MNIST and CIFAR” – there were no information before and after about evaluation on CIFAR, is it a mistake?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Section 5.2.2:</w:t>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“approximate O(1/k) convergence rate” – O(1/k^2) ?</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Section 6:</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“which empirically follows an approximate O(1/k) trend” – O(1/k^2) ?</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In references.bib you have 16 entries, while in article References section there are only 14. Maybe you forgot \nocite{*}?</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Reviewer’s Opinion: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I experienced a real pleasure reading this article. It was great to see author’s deep studying of related works connected to the stated problem, as well as formal theoretical backbone with needed proofs and statements. Visual demonstrations of the method with it’s impact and explanations offer significant help for me, as a reader, to better understand algorithm’s pipeline and it’s effectiveness. Once the minor factual and theoretical mistakes are corrected, I would be genuinely excited to use the results of this work in my research and studies!</w:t>
      </w:r>
    </w:p>
    <w:p w:rsidR="00000000" w:rsidDel="00000000" w:rsidP="00000000" w:rsidRDefault="00000000" w:rsidRPr="00000000" w14:paraId="0000002D">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