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extent cx="7560000" cy="10692000"/>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00-couverture.png"/>
                    <pic:cNvPicPr/>
                  </pic:nvPicPr>
                  <pic:blipFill>
                    <a:blip r:embed="rId9"/>
                    <a:stretch>
                      <a:fillRect/>
                    </a:stretch>
                  </pic:blipFill>
                  <pic:spPr>
                    <a:xfrm>
                      <a:off x="0" y="0"/>
                      <a:ext cx="7560000" cy="10692000"/>
                    </a:xfrm>
                    <a:prstGeom prst="rect"/>
                  </pic:spPr>
                </pic:pic>
              </a:graphicData>
            </a:graphic>
          </wp:anchor>
        </w:drawing>
      </w:r>
    </w:p>
    <w:p>
      <w:pPr>
        <w:sectPr>
          <w:pgSz w:w="11906" w:h="16838"/>
          <w:pgMar w:top="0" w:right="0" w:bottom="0" w:left="0" w:header="680" w:footer="680" w:gutter="0"/>
          <w:cols w:space="720"/>
          <w:docGrid w:linePitch="360"/>
        </w:sectPr>
      </w:pPr>
    </w:p>
    <w:p>
      <w:pPr>
        <w:spacing w:before="80" w:after="160"/>
        <w:pBdr>
          <w:bottom w:val="single" w:sz="8" w:space="6" w:color="C62A26"/>
        </w:pBdr>
        <w:keepNext w:val="1"/>
      </w:pPr>
      <w:r>
        <w:rPr>
          <w:rFonts w:ascii="Bebas Neue" w:hAnsi="Bebas Neue" w:cs="Bebas Neue" w:eastAsia="Bebas Neue"/>
          <w:b w:val="0"/>
          <w:i w:val="0"/>
          <w:color w:val="1C1A17"/>
          <w:sz w:val="44"/>
          <w:spacing w:val="10"/>
        </w:rPr>
        <w:t>Résumé</w:t>
      </w:r>
    </w:p>
    <w:p>
      <w:pPr>
        <w:spacing w:before="0" w:after="80" w:line="312" w:lineRule="auto"/>
        <w:ind w:firstLine="397"/>
        <w:jc w:val="both"/>
      </w:pPr>
      <w:r>
        <w:rPr>
          <w:rFonts w:ascii="IBM Plex Serif" w:hAnsi="IBM Plex Serif" w:cs="IBM Plex Serif" w:eastAsia="IBM Plex Serif"/>
          <w:b w:val="0"/>
          <w:i w:val="0"/>
          <w:color w:val="1C1A17"/>
          <w:sz w:val="21"/>
        </w:rPr>
        <w:t>Tomber en panne à Yaoundé se règle aujourd'hui au téléphone et de mémoire. On appelle un proche, qui appelle un mécanicien qu'il connaît, et l'on attend au bord de la route sans savoir si quelqu'un viendra ni quand. Le temps d'attente n'est pas mesuré, il est subi. GeoCras part de cette situation et propose un service qui la remplace point par point : une carte des garages autour de soi, classés par pertinence réelle et non par ordre alphabétique ; une déclaration de panne qui tient en trois écrans et part avec la position ; un suivi en direct du dépanneur jusqu'à ce qu'il arrive ; et une trace horodatée de l'intervention qui, une fois les deux parties d'accord sur le fait qu'elles se sont rejointes, crédite des points de fidélité convertibles en remises.</w:t>
      </w:r>
    </w:p>
    <w:p>
      <w:pPr>
        <w:spacing w:before="0" w:after="80" w:line="312" w:lineRule="auto"/>
        <w:ind w:firstLine="397"/>
        <w:jc w:val="both"/>
      </w:pPr>
      <w:r>
        <w:rPr>
          <w:rFonts w:ascii="IBM Plex Serif" w:hAnsi="IBM Plex Serif" w:cs="IBM Plex Serif" w:eastAsia="IBM Plex Serif"/>
          <w:b w:val="0"/>
          <w:i w:val="0"/>
          <w:color w:val="1C1A17"/>
          <w:sz w:val="21"/>
        </w:rPr>
        <w:t>Le document qui suit est le cahier des charges de ce service et le dossier de conception de sa première version. Il commence par une analyse du terrain et une critique argumentée des solutions existantes, formelles comme informelles. Il expose ensuite la solution retenue, ses spécifications générales puis détaillées — modélisation UML complète, schéma de base de données, contrats d'interface — et justifie chaque choix technique par un raisonnement rattaché aux contraintes du contexte camerounais : précision GPS médiocre en centre-ville, réseau mobile intermittent, forfaits de données comptés, et une chaîne de fidélité qui manipule ce qui est en pratique de l'argent.</w:t>
      </w:r>
    </w:p>
    <w:p>
      <w:pPr>
        <w:spacing w:before="0" w:after="80" w:line="312" w:lineRule="auto"/>
        <w:ind w:firstLine="397"/>
        <w:jc w:val="both"/>
      </w:pPr>
      <w:r>
        <w:rPr>
          <w:rFonts w:ascii="IBM Plex Serif" w:hAnsi="IBM Plex Serif" w:cs="IBM Plex Serif" w:eastAsia="IBM Plex Serif"/>
          <w:b w:val="0"/>
          <w:i w:val="0"/>
          <w:color w:val="1C1A17"/>
          <w:sz w:val="21"/>
        </w:rPr>
        <w:t>La dernière partie rend compte de ce qui a été effectivement construit. L'application existe : près de cinquante-deux mille lignes de TypeScript réparties entre un client mobile React Native, une interface de programmation Express et un paquet de contrats partagés, avec quarante-trois routes exposées, quatorze tables, neuf migrations et trois cent vingt-sept tests automatisés. Elle connaît désormais les deux sens d'un dépannage — le garagiste qui se déplace, et le client qui conduit jusqu'à l'atelier — et tient un registre d'observation des commissions fondé non sur une déclaration mais sur la trace de celui qui s'est déplacé. Le document décrit les interfaces écran par écran, expose les mesures obtenues et énonce sans détour ce qui reste à faire.</w:t>
      </w:r>
    </w:p>
    <w:p>
      <w:pPr>
        <w:pageBreakBefore w:val="1"/>
      </w:pPr>
    </w:p>
    <w:p>
      <w:pPr>
        <w:spacing w:before="80" w:after="160"/>
        <w:pBdr>
          <w:bottom w:val="single" w:sz="8" w:space="6" w:color="C62A26"/>
        </w:pBdr>
        <w:keepNext w:val="1"/>
      </w:pPr>
      <w:r>
        <w:rPr>
          <w:rFonts w:ascii="Bebas Neue" w:hAnsi="Bebas Neue" w:cs="Bebas Neue" w:eastAsia="Bebas Neue"/>
          <w:b w:val="0"/>
          <w:i w:val="0"/>
          <w:color w:val="1C1A17"/>
          <w:sz w:val="44"/>
          <w:spacing w:val="10"/>
        </w:rPr>
        <w:t>Abstract</w:t>
      </w:r>
    </w:p>
    <w:p>
      <w:pPr>
        <w:spacing w:before="0" w:after="80" w:line="312" w:lineRule="auto"/>
        <w:ind w:firstLine="397"/>
        <w:jc w:val="both"/>
      </w:pPr>
      <w:r>
        <w:rPr>
          <w:rFonts w:ascii="IBM Plex Serif" w:hAnsi="IBM Plex Serif" w:cs="IBM Plex Serif" w:eastAsia="IBM Plex Serif"/>
          <w:b w:val="0"/>
          <w:i w:val="0"/>
          <w:color w:val="1C1A17"/>
          <w:sz w:val="21"/>
        </w:rPr>
        <w:t>Breaking down in Yaoundé is currently handled by phone and from memory. You call a relative, who calls a mechanic they know, and you wait by the roadside with no way of knowing whether anyone is coming, or when. GeoCras replaces that sequence with a map of nearby garages ranked by genuine relevance, a breakdown report that fits in three screens and carries the user's position, live tracking of the mechanic until arrival, and a timestamped record of the job which — once both parties agree they have met — credits loyalty points convertible into discounts at certified garages.</w:t>
      </w:r>
    </w:p>
    <w:p>
      <w:pPr>
        <w:spacing w:before="0" w:after="80" w:line="312" w:lineRule="auto"/>
        <w:ind w:firstLine="397"/>
        <w:jc w:val="both"/>
      </w:pPr>
      <w:r>
        <w:rPr>
          <w:rFonts w:ascii="IBM Plex Serif" w:hAnsi="IBM Plex Serif" w:cs="IBM Plex Serif" w:eastAsia="IBM Plex Serif"/>
          <w:b w:val="0"/>
          <w:i w:val="0"/>
          <w:color w:val="1C1A17"/>
          <w:sz w:val="21"/>
        </w:rPr>
        <w:t>This document is both the requirements specification and the design record for the first version. It analyses the field and criticises existing alternatives, formal and informal alike; sets out the proposed solution, its general and then detailed specifications including full UML modelling, the database schema and the interface contracts; and justifies every technical decision against the constraints of the Cameroonian context: poor GPS accuracy downtown, intermittent mobile coverage, metered data plans, and a loyalty chain that handles what is effectively cash. The final part reports on what was actually built — close to fifty-two thousand lines of TypeScript, forty-three routes, fourteen tables, nine migrations and three hundred and twenty-seven automated tests. The system now handles both directions of a breakdown — the mechanic driving out, or the customer driving in — and keeps an observation ledger of commissions grounded not in a declaration but in the GPS trail of whoever actually travelled.</w:t>
      </w:r>
    </w:p>
    <w:p>
      <w:pPr>
        <w:pageBreakBefore w:val="1"/>
      </w:pPr>
    </w:p>
    <w:p>
      <w:pPr>
        <w:spacing w:after="280"/>
        <w:pBdr>
          <w:bottom w:val="single" w:sz="10" w:space="8" w:color="C62A26"/>
        </w:pBdr>
      </w:pPr>
      <w:r>
        <w:rPr>
          <w:rFonts w:ascii="Bebas Neue" w:hAnsi="Bebas Neue" w:cs="Bebas Neue" w:eastAsia="Bebas Neue"/>
          <w:b w:val="0"/>
          <w:i w:val="0"/>
          <w:color w:val="1C1A17"/>
          <w:sz w:val="54"/>
          <w:spacing w:val="10"/>
        </w:rPr>
        <w:t>Sommaire</w:t>
      </w:r>
    </w:p>
    <w:p>
      <w:pPr>
        <w:tabs>
          <w:tab w:pos="9298" w:val="right" w:leader="hyphen"/>
        </w:tabs>
        <w:spacing w:after="140" w:before="180"/>
        <w:ind w:left="0"/>
      </w:pPr>
      <w:r>
        <w:rPr>
          <w:rFonts w:ascii="Bebas Neue" w:hAnsi="Bebas Neue" w:cs="Bebas Neue" w:eastAsia="Bebas Neue"/>
          <w:b w:val="0"/>
          <w:i w:val="0"/>
          <w:color w:val="1C1A17"/>
          <w:sz w:val="28"/>
        </w:rPr>
        <w:t>Résumé</w:t>
      </w:r>
      <w:r>
        <w:rPr>
          <w:rFonts w:ascii="IBM Plex Serif" w:hAnsi="IBM Plex Serif" w:cs="IBM Plex Serif" w:eastAsia="IBM Plex Serif"/>
          <w:b w:val="0"/>
          <w:i w:val="0"/>
          <w:color w:val="1C1A17"/>
          <w:sz w:val="23"/>
        </w:rPr>
        <w:tab/>
      </w:r>
      <w:r>
        <w:rPr>
          <w:rFonts w:ascii="IBM Plex Mono" w:hAnsi="IBM Plex Mono" w:cs="IBM Plex Mono" w:eastAsia="IBM Plex Mono"/>
          <w:b w:val="0"/>
          <w:i w:val="0"/>
          <w:color w:val="55514A"/>
          <w:sz w:val="21"/>
        </w:rPr>
        <w:t>2</w:t>
      </w:r>
    </w:p>
    <w:p>
      <w:pPr>
        <w:tabs>
          <w:tab w:pos="9298" w:val="right" w:leader="hyphen"/>
        </w:tabs>
        <w:spacing w:after="140" w:before="180"/>
        <w:ind w:left="0"/>
      </w:pPr>
      <w:r>
        <w:rPr>
          <w:rFonts w:ascii="Bebas Neue" w:hAnsi="Bebas Neue" w:cs="Bebas Neue" w:eastAsia="Bebas Neue"/>
          <w:b w:val="0"/>
          <w:i w:val="0"/>
          <w:color w:val="1C1A17"/>
          <w:sz w:val="28"/>
        </w:rPr>
        <w:t>Abstract</w:t>
      </w:r>
      <w:r>
        <w:rPr>
          <w:rFonts w:ascii="IBM Plex Serif" w:hAnsi="IBM Plex Serif" w:cs="IBM Plex Serif" w:eastAsia="IBM Plex Serif"/>
          <w:b w:val="0"/>
          <w:i w:val="0"/>
          <w:color w:val="1C1A17"/>
          <w:sz w:val="23"/>
        </w:rPr>
        <w:tab/>
      </w:r>
      <w:r>
        <w:rPr>
          <w:rFonts w:ascii="IBM Plex Mono" w:hAnsi="IBM Plex Mono" w:cs="IBM Plex Mono" w:eastAsia="IBM Plex Mono"/>
          <w:b w:val="0"/>
          <w:i w:val="0"/>
          <w:color w:val="55514A"/>
          <w:sz w:val="21"/>
        </w:rPr>
        <w:t>3</w:t>
      </w:r>
    </w:p>
    <w:p>
      <w:pPr>
        <w:tabs>
          <w:tab w:pos="9298" w:val="right" w:leader="hyphen"/>
        </w:tabs>
        <w:spacing w:after="140" w:before="180"/>
        <w:ind w:left="0"/>
      </w:pPr>
      <w:r>
        <w:rPr>
          <w:rFonts w:ascii="IBM Plex Sans" w:hAnsi="IBM Plex Sans" w:cs="IBM Plex Sans" w:eastAsia="IBM Plex Sans"/>
          <w:b/>
          <w:i w:val="0"/>
          <w:color w:val="C62A26"/>
          <w:sz w:val="23"/>
        </w:rPr>
        <w:t xml:space="preserve">1   </w:t>
      </w:r>
      <w:r>
        <w:rPr>
          <w:rFonts w:ascii="Bebas Neue" w:hAnsi="Bebas Neue" w:cs="Bebas Neue" w:eastAsia="Bebas Neue"/>
          <w:b w:val="0"/>
          <w:i w:val="0"/>
          <w:color w:val="1C1A17"/>
          <w:sz w:val="28"/>
        </w:rPr>
        <w:t>Introduction</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1.1   </w:t>
      </w:r>
      <w:r>
        <w:rPr>
          <w:rFonts w:ascii="IBM Plex Serif" w:hAnsi="IBM Plex Serif" w:cs="IBM Plex Serif" w:eastAsia="IBM Plex Serif"/>
          <w:b w:val="0"/>
          <w:i w:val="0"/>
          <w:color w:val="1C1A17"/>
          <w:sz w:val="20"/>
        </w:rPr>
        <w:t>Contexte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1.2   </w:t>
      </w:r>
      <w:r>
        <w:rPr>
          <w:rFonts w:ascii="IBM Plex Serif" w:hAnsi="IBM Plex Serif" w:cs="IBM Plex Serif" w:eastAsia="IBM Plex Serif"/>
          <w:b w:val="0"/>
          <w:i w:val="0"/>
          <w:color w:val="1C1A17"/>
          <w:sz w:val="20"/>
        </w:rPr>
        <w:t>Problématique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1.3   </w:t>
      </w:r>
      <w:r>
        <w:rPr>
          <w:rFonts w:ascii="IBM Plex Serif" w:hAnsi="IBM Plex Serif" w:cs="IBM Plex Serif" w:eastAsia="IBM Plex Serif"/>
          <w:b w:val="0"/>
          <w:i w:val="0"/>
          <w:color w:val="1C1A17"/>
          <w:sz w:val="20"/>
        </w:rPr>
        <w:t>Objectifs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1.4   </w:t>
      </w:r>
      <w:r>
        <w:rPr>
          <w:rFonts w:ascii="IBM Plex Serif" w:hAnsi="IBM Plex Serif" w:cs="IBM Plex Serif" w:eastAsia="IBM Plex Serif"/>
          <w:b w:val="0"/>
          <w:i w:val="0"/>
          <w:color w:val="1C1A17"/>
          <w:sz w:val="20"/>
        </w:rPr>
        <w:t>Méthodologie et lecture du document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8</w:t>
      </w:r>
    </w:p>
    <w:p>
      <w:pPr>
        <w:tabs>
          <w:tab w:pos="9298" w:val="right" w:leader="hyphen"/>
        </w:tabs>
        <w:spacing w:after="140" w:before="180"/>
        <w:ind w:left="0"/>
      </w:pPr>
      <w:r>
        <w:rPr>
          <w:rFonts w:ascii="IBM Plex Sans" w:hAnsi="IBM Plex Sans" w:cs="IBM Plex Sans" w:eastAsia="IBM Plex Sans"/>
          <w:b/>
          <w:i w:val="0"/>
          <w:color w:val="C62A26"/>
          <w:sz w:val="23"/>
        </w:rPr>
        <w:t xml:space="preserve">2   </w:t>
      </w:r>
      <w:r>
        <w:rPr>
          <w:rFonts w:ascii="Bebas Neue" w:hAnsi="Bebas Neue" w:cs="Bebas Neue" w:eastAsia="Bebas Neue"/>
          <w:b w:val="0"/>
          <w:i w:val="0"/>
          <w:color w:val="1C1A17"/>
          <w:sz w:val="28"/>
        </w:rPr>
        <w:t>Analyse des besoins et étude de l'existant</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10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2.1   </w:t>
      </w:r>
      <w:r>
        <w:rPr>
          <w:rFonts w:ascii="IBM Plex Serif" w:hAnsi="IBM Plex Serif" w:cs="IBM Plex Serif" w:eastAsia="IBM Plex Serif"/>
          <w:b w:val="0"/>
          <w:i w:val="0"/>
          <w:color w:val="1C1A17"/>
          <w:sz w:val="20"/>
        </w:rPr>
        <w:t>Le terrain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2.2   </w:t>
      </w:r>
      <w:r>
        <w:rPr>
          <w:rFonts w:ascii="IBM Plex Serif" w:hAnsi="IBM Plex Serif" w:cs="IBM Plex Serif" w:eastAsia="IBM Plex Serif"/>
          <w:b w:val="0"/>
          <w:i w:val="0"/>
          <w:color w:val="1C1A17"/>
          <w:sz w:val="20"/>
        </w:rPr>
        <w:t>Étude de l'existant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10</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2.2.1   </w:t>
      </w:r>
      <w:r>
        <w:rPr>
          <w:rFonts w:ascii="IBM Plex Serif" w:hAnsi="IBM Plex Serif" w:cs="IBM Plex Serif" w:eastAsia="IBM Plex Serif"/>
          <w:b w:val="0"/>
          <w:i w:val="0"/>
          <w:color w:val="55514A"/>
          <w:sz w:val="18"/>
        </w:rPr>
        <w:t>Les cartes généralistes</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10</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2.2.2   </w:t>
      </w:r>
      <w:r>
        <w:rPr>
          <w:rFonts w:ascii="IBM Plex Serif" w:hAnsi="IBM Plex Serif" w:cs="IBM Plex Serif" w:eastAsia="IBM Plex Serif"/>
          <w:b w:val="0"/>
          <w:i w:val="0"/>
          <w:color w:val="55514A"/>
          <w:sz w:val="18"/>
        </w:rPr>
        <w:t>Les annuaires et les pages de réseaux sociaux</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11</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2.2.3   </w:t>
      </w:r>
      <w:r>
        <w:rPr>
          <w:rFonts w:ascii="IBM Plex Serif" w:hAnsi="IBM Plex Serif" w:cs="IBM Plex Serif" w:eastAsia="IBM Plex Serif"/>
          <w:b w:val="0"/>
          <w:i w:val="0"/>
          <w:color w:val="55514A"/>
          <w:sz w:val="18"/>
        </w:rPr>
        <w:t>L'assistance contractuelle des assureurs</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11</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2.2.4   </w:t>
      </w:r>
      <w:r>
        <w:rPr>
          <w:rFonts w:ascii="IBM Plex Serif" w:hAnsi="IBM Plex Serif" w:cs="IBM Plex Serif" w:eastAsia="IBM Plex Serif"/>
          <w:b w:val="0"/>
          <w:i w:val="0"/>
          <w:color w:val="55514A"/>
          <w:sz w:val="18"/>
        </w:rPr>
        <w:t>Les applications de mise en relation à la demande</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11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2.3   </w:t>
      </w:r>
      <w:r>
        <w:rPr>
          <w:rFonts w:ascii="IBM Plex Serif" w:hAnsi="IBM Plex Serif" w:cs="IBM Plex Serif" w:eastAsia="IBM Plex Serif"/>
          <w:b w:val="0"/>
          <w:i w:val="0"/>
          <w:color w:val="1C1A17"/>
          <w:sz w:val="20"/>
        </w:rPr>
        <w:t>Critique de l'existant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2.4   </w:t>
      </w:r>
      <w:r>
        <w:rPr>
          <w:rFonts w:ascii="IBM Plex Serif" w:hAnsi="IBM Plex Serif" w:cs="IBM Plex Serif" w:eastAsia="IBM Plex Serif"/>
          <w:b w:val="0"/>
          <w:i w:val="0"/>
          <w:color w:val="1C1A17"/>
          <w:sz w:val="20"/>
        </w:rPr>
        <w:t>Besoins fonctionnels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2.5   </w:t>
      </w:r>
      <w:r>
        <w:rPr>
          <w:rFonts w:ascii="IBM Plex Serif" w:hAnsi="IBM Plex Serif" w:cs="IBM Plex Serif" w:eastAsia="IBM Plex Serif"/>
          <w:b w:val="0"/>
          <w:i w:val="0"/>
          <w:color w:val="1C1A17"/>
          <w:sz w:val="20"/>
        </w:rPr>
        <w:t>Besoins non fonctionnels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2.6   </w:t>
      </w:r>
      <w:r>
        <w:rPr>
          <w:rFonts w:ascii="IBM Plex Serif" w:hAnsi="IBM Plex Serif" w:cs="IBM Plex Serif" w:eastAsia="IBM Plex Serif"/>
          <w:b w:val="0"/>
          <w:i w:val="0"/>
          <w:color w:val="1C1A17"/>
          <w:sz w:val="20"/>
        </w:rPr>
        <w:t>Les acteurs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15</w:t>
      </w:r>
    </w:p>
    <w:p>
      <w:pPr>
        <w:tabs>
          <w:tab w:pos="9298" w:val="right" w:leader="hyphen"/>
        </w:tabs>
        <w:spacing w:after="140" w:before="180"/>
        <w:ind w:left="0"/>
      </w:pPr>
      <w:r>
        <w:rPr>
          <w:rFonts w:ascii="IBM Plex Sans" w:hAnsi="IBM Plex Sans" w:cs="IBM Plex Sans" w:eastAsia="IBM Plex Sans"/>
          <w:b/>
          <w:i w:val="0"/>
          <w:color w:val="C62A26"/>
          <w:sz w:val="23"/>
        </w:rPr>
        <w:t xml:space="preserve">3   </w:t>
      </w:r>
      <w:r>
        <w:rPr>
          <w:rFonts w:ascii="Bebas Neue" w:hAnsi="Bebas Neue" w:cs="Bebas Neue" w:eastAsia="Bebas Neue"/>
          <w:b w:val="0"/>
          <w:i w:val="0"/>
          <w:color w:val="1C1A17"/>
          <w:sz w:val="28"/>
        </w:rPr>
        <w:t>La solution proposée</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16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3.1   </w:t>
      </w:r>
      <w:r>
        <w:rPr>
          <w:rFonts w:ascii="IBM Plex Serif" w:hAnsi="IBM Plex Serif" w:cs="IBM Plex Serif" w:eastAsia="IBM Plex Serif"/>
          <w:b w:val="0"/>
          <w:i w:val="0"/>
          <w:color w:val="1C1A17"/>
          <w:sz w:val="20"/>
        </w:rPr>
        <w:t>Principe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3.2   </w:t>
      </w:r>
      <w:r>
        <w:rPr>
          <w:rFonts w:ascii="IBM Plex Serif" w:hAnsi="IBM Plex Serif" w:cs="IBM Plex Serif" w:eastAsia="IBM Plex Serif"/>
          <w:b w:val="0"/>
          <w:i w:val="0"/>
          <w:color w:val="1C1A17"/>
          <w:sz w:val="20"/>
        </w:rPr>
        <w:t>Ce qui distingue la solution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3.3   </w:t>
      </w:r>
      <w:r>
        <w:rPr>
          <w:rFonts w:ascii="IBM Plex Serif" w:hAnsi="IBM Plex Serif" w:cs="IBM Plex Serif" w:eastAsia="IBM Plex Serif"/>
          <w:b w:val="0"/>
          <w:i w:val="0"/>
          <w:color w:val="1C1A17"/>
          <w:sz w:val="20"/>
        </w:rPr>
        <w:t>Périmètre de la première version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3.4   </w:t>
      </w:r>
      <w:r>
        <w:rPr>
          <w:rFonts w:ascii="IBM Plex Serif" w:hAnsi="IBM Plex Serif" w:cs="IBM Plex Serif" w:eastAsia="IBM Plex Serif"/>
          <w:b w:val="0"/>
          <w:i w:val="0"/>
          <w:color w:val="1C1A17"/>
          <w:sz w:val="20"/>
        </w:rPr>
        <w:t>Les trois risques identifiés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17</w:t>
      </w:r>
    </w:p>
    <w:p>
      <w:pPr>
        <w:tabs>
          <w:tab w:pos="9298" w:val="right" w:leader="hyphen"/>
        </w:tabs>
        <w:spacing w:after="140" w:before="180"/>
        <w:ind w:left="0"/>
      </w:pPr>
      <w:r>
        <w:rPr>
          <w:rFonts w:ascii="IBM Plex Sans" w:hAnsi="IBM Plex Sans" w:cs="IBM Plex Sans" w:eastAsia="IBM Plex Sans"/>
          <w:b/>
          <w:i w:val="0"/>
          <w:color w:val="C62A26"/>
          <w:sz w:val="23"/>
        </w:rPr>
        <w:t xml:space="preserve">4   </w:t>
      </w:r>
      <w:r>
        <w:rPr>
          <w:rFonts w:ascii="Bebas Neue" w:hAnsi="Bebas Neue" w:cs="Bebas Neue" w:eastAsia="Bebas Neue"/>
          <w:b w:val="0"/>
          <w:i w:val="0"/>
          <w:color w:val="1C1A17"/>
          <w:sz w:val="28"/>
        </w:rPr>
        <w:t>Spécifications générales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19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4.1   </w:t>
      </w:r>
      <w:r>
        <w:rPr>
          <w:rFonts w:ascii="IBM Plex Serif" w:hAnsi="IBM Plex Serif" w:cs="IBM Plex Serif" w:eastAsia="IBM Plex Serif"/>
          <w:b w:val="0"/>
          <w:i w:val="0"/>
          <w:color w:val="1C1A17"/>
          <w:sz w:val="20"/>
        </w:rPr>
        <w:t>Architecture générale du système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4.2   </w:t>
      </w:r>
      <w:r>
        <w:rPr>
          <w:rFonts w:ascii="IBM Plex Serif" w:hAnsi="IBM Plex Serif" w:cs="IBM Plex Serif" w:eastAsia="IBM Plex Serif"/>
          <w:b w:val="0"/>
          <w:i w:val="0"/>
          <w:color w:val="1C1A17"/>
          <w:sz w:val="20"/>
        </w:rPr>
        <w:t>Acteurs et droits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4.3   </w:t>
      </w:r>
      <w:r>
        <w:rPr>
          <w:rFonts w:ascii="IBM Plex Serif" w:hAnsi="IBM Plex Serif" w:cs="IBM Plex Serif" w:eastAsia="IBM Plex Serif"/>
          <w:b w:val="0"/>
          <w:i w:val="0"/>
          <w:color w:val="1C1A17"/>
          <w:sz w:val="20"/>
        </w:rPr>
        <w:t>Les deux modes de service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4.4   </w:t>
      </w:r>
      <w:r>
        <w:rPr>
          <w:rFonts w:ascii="IBM Plex Serif" w:hAnsi="IBM Plex Serif" w:cs="IBM Plex Serif" w:eastAsia="IBM Plex Serif"/>
          <w:b w:val="0"/>
          <w:i w:val="0"/>
          <w:color w:val="1C1A17"/>
          <w:sz w:val="20"/>
        </w:rPr>
        <w:t>Diagramme de cas d'utilisation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22</w:t>
      </w:r>
    </w:p>
    <w:p>
      <w:pPr>
        <w:tabs>
          <w:tab w:pos="9298" w:val="right" w:leader="hyphen"/>
        </w:tabs>
        <w:spacing w:after="140" w:before="180"/>
        <w:ind w:left="0"/>
      </w:pPr>
      <w:r>
        <w:rPr>
          <w:rFonts w:ascii="IBM Plex Sans" w:hAnsi="IBM Plex Sans" w:cs="IBM Plex Sans" w:eastAsia="IBM Plex Sans"/>
          <w:b/>
          <w:i w:val="0"/>
          <w:color w:val="C62A26"/>
          <w:sz w:val="23"/>
        </w:rPr>
        <w:t xml:space="preserve">5   </w:t>
      </w:r>
      <w:r>
        <w:rPr>
          <w:rFonts w:ascii="Bebas Neue" w:hAnsi="Bebas Neue" w:cs="Bebas Neue" w:eastAsia="Bebas Neue"/>
          <w:b w:val="0"/>
          <w:i w:val="0"/>
          <w:color w:val="1C1A17"/>
          <w:sz w:val="28"/>
        </w:rPr>
        <w:t>Description des cas d'utilisation</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24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   </w:t>
      </w:r>
      <w:r>
        <w:rPr>
          <w:rFonts w:ascii="IBM Plex Serif" w:hAnsi="IBM Plex Serif" w:cs="IBM Plex Serif" w:eastAsia="IBM Plex Serif"/>
          <w:b w:val="0"/>
          <w:i w:val="0"/>
          <w:color w:val="1C1A17"/>
          <w:sz w:val="20"/>
        </w:rPr>
        <w:t>UC-01 — S'inscrire et se connecter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5.2   </w:t>
      </w:r>
      <w:r>
        <w:rPr>
          <w:rFonts w:ascii="IBM Plex Serif" w:hAnsi="IBM Plex Serif" w:cs="IBM Plex Serif" w:eastAsia="IBM Plex Serif"/>
          <w:b w:val="0"/>
          <w:i w:val="0"/>
          <w:color w:val="1C1A17"/>
          <w:sz w:val="20"/>
        </w:rPr>
        <w:t>UC-02 — Rechercher les garages à proximité</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5.3   </w:t>
      </w:r>
      <w:r>
        <w:rPr>
          <w:rFonts w:ascii="IBM Plex Serif" w:hAnsi="IBM Plex Serif" w:cs="IBM Plex Serif" w:eastAsia="IBM Plex Serif"/>
          <w:b w:val="0"/>
          <w:i w:val="0"/>
          <w:color w:val="1C1A17"/>
          <w:sz w:val="20"/>
        </w:rPr>
        <w:t>UC-03 — Déclarer une panne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5.4   </w:t>
      </w:r>
      <w:r>
        <w:rPr>
          <w:rFonts w:ascii="IBM Plex Serif" w:hAnsi="IBM Plex Serif" w:cs="IBM Plex Serif" w:eastAsia="IBM Plex Serif"/>
          <w:b w:val="0"/>
          <w:i w:val="0"/>
          <w:color w:val="1C1A17"/>
          <w:sz w:val="20"/>
        </w:rPr>
        <w:t>UC-04 — Choisir un garage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5.5   </w:t>
      </w:r>
      <w:r>
        <w:rPr>
          <w:rFonts w:ascii="IBM Plex Serif" w:hAnsi="IBM Plex Serif" w:cs="IBM Plex Serif" w:eastAsia="IBM Plex Serif"/>
          <w:b w:val="0"/>
          <w:i w:val="0"/>
          <w:color w:val="1C1A17"/>
          <w:sz w:val="20"/>
        </w:rPr>
        <w:t>UC-05 — Accepter ou refuser une demande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5.6   </w:t>
      </w:r>
      <w:r>
        <w:rPr>
          <w:rFonts w:ascii="IBM Plex Serif" w:hAnsi="IBM Plex Serif" w:cs="IBM Plex Serif" w:eastAsia="IBM Plex Serif"/>
          <w:b w:val="0"/>
          <w:i w:val="0"/>
          <w:color w:val="1C1A17"/>
          <w:sz w:val="20"/>
        </w:rPr>
        <w:t>UC-06 — Déclarer son départ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5.7   </w:t>
      </w:r>
      <w:r>
        <w:rPr>
          <w:rFonts w:ascii="IBM Plex Serif" w:hAnsi="IBM Plex Serif" w:cs="IBM Plex Serif" w:eastAsia="IBM Plex Serif"/>
          <w:b w:val="0"/>
          <w:i w:val="0"/>
          <w:color w:val="1C1A17"/>
          <w:sz w:val="20"/>
        </w:rPr>
        <w:t>UC-07 — Suivre l'intervention en temps réel</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5.8   </w:t>
      </w:r>
      <w:r>
        <w:rPr>
          <w:rFonts w:ascii="IBM Plex Serif" w:hAnsi="IBM Plex Serif" w:cs="IBM Plex Serif" w:eastAsia="IBM Plex Serif"/>
          <w:b w:val="0"/>
          <w:i w:val="0"/>
          <w:color w:val="1C1A17"/>
          <w:sz w:val="20"/>
        </w:rPr>
        <w:t>UC-08 — Confirmer l'arrivée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5.9   </w:t>
      </w:r>
      <w:r>
        <w:rPr>
          <w:rFonts w:ascii="IBM Plex Serif" w:hAnsi="IBM Plex Serif" w:cs="IBM Plex Serif" w:eastAsia="IBM Plex Serif"/>
          <w:b w:val="0"/>
          <w:i w:val="0"/>
          <w:color w:val="1C1A17"/>
          <w:sz w:val="20"/>
        </w:rPr>
        <w:t>UC-09 — Publier un avis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5.10   </w:t>
      </w:r>
      <w:r>
        <w:rPr>
          <w:rFonts w:ascii="IBM Plex Serif" w:hAnsi="IBM Plex Serif" w:cs="IBM Plex Serif" w:eastAsia="IBM Plex Serif"/>
          <w:b w:val="0"/>
          <w:i w:val="0"/>
          <w:color w:val="1C1A17"/>
          <w:sz w:val="20"/>
        </w:rPr>
        <w:t>UC-10 — Consulter sa fidélité et parrainer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5.11   </w:t>
      </w:r>
      <w:r>
        <w:rPr>
          <w:rFonts w:ascii="IBM Plex Serif" w:hAnsi="IBM Plex Serif" w:cs="IBM Plex Serif" w:eastAsia="IBM Plex Serif"/>
          <w:b w:val="0"/>
          <w:i w:val="0"/>
          <w:color w:val="1C1A17"/>
          <w:sz w:val="20"/>
        </w:rPr>
        <w:t>UC-11 — Inscrire son garage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5.12   </w:t>
      </w:r>
      <w:r>
        <w:rPr>
          <w:rFonts w:ascii="IBM Plex Serif" w:hAnsi="IBM Plex Serif" w:cs="IBM Plex Serif" w:eastAsia="IBM Plex Serif"/>
          <w:b w:val="0"/>
          <w:i w:val="0"/>
          <w:color w:val="1C1A17"/>
          <w:sz w:val="20"/>
        </w:rPr>
        <w:t>UC-12 — Utiliser le mode conduite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5.13   </w:t>
      </w:r>
      <w:r>
        <w:rPr>
          <w:rFonts w:ascii="IBM Plex Serif" w:hAnsi="IBM Plex Serif" w:cs="IBM Plex Serif" w:eastAsia="IBM Plex Serif"/>
          <w:b w:val="0"/>
          <w:i w:val="0"/>
          <w:color w:val="1C1A17"/>
          <w:sz w:val="20"/>
        </w:rPr>
        <w:t>UC-13 — Vérifier et certifier un garage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5.14   </w:t>
      </w:r>
      <w:r>
        <w:rPr>
          <w:rFonts w:ascii="IBM Plex Serif" w:hAnsi="IBM Plex Serif" w:cs="IBM Plex Serif" w:eastAsia="IBM Plex Serif"/>
          <w:b w:val="0"/>
          <w:i w:val="0"/>
          <w:color w:val="1C1A17"/>
          <w:sz w:val="20"/>
        </w:rPr>
        <w:t>Synthèse de la traçabilité</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43</w:t>
      </w:r>
    </w:p>
    <w:p>
      <w:pPr>
        <w:tabs>
          <w:tab w:pos="9298" w:val="right" w:leader="hyphen"/>
        </w:tabs>
        <w:spacing w:after="140" w:before="180"/>
        <w:ind w:left="0"/>
      </w:pPr>
      <w:r>
        <w:rPr>
          <w:rFonts w:ascii="IBM Plex Sans" w:hAnsi="IBM Plex Sans" w:cs="IBM Plex Sans" w:eastAsia="IBM Plex Sans"/>
          <w:b/>
          <w:i w:val="0"/>
          <w:color w:val="C62A26"/>
          <w:sz w:val="23"/>
        </w:rPr>
        <w:t xml:space="preserve">6   </w:t>
      </w:r>
      <w:r>
        <w:rPr>
          <w:rFonts w:ascii="Bebas Neue" w:hAnsi="Bebas Neue" w:cs="Bebas Neue" w:eastAsia="Bebas Neue"/>
          <w:b w:val="0"/>
          <w:i w:val="0"/>
          <w:color w:val="1C1A17"/>
          <w:sz w:val="28"/>
        </w:rPr>
        <w:t>Spécifications détaillées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45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6.1   </w:t>
      </w:r>
      <w:r>
        <w:rPr>
          <w:rFonts w:ascii="IBM Plex Serif" w:hAnsi="IBM Plex Serif" w:cs="IBM Plex Serif" w:eastAsia="IBM Plex Serif"/>
          <w:b w:val="0"/>
          <w:i w:val="0"/>
          <w:color w:val="1C1A17"/>
          <w:sz w:val="20"/>
        </w:rPr>
        <w:t>Diagramme de classes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6.2   </w:t>
      </w:r>
      <w:r>
        <w:rPr>
          <w:rFonts w:ascii="IBM Plex Serif" w:hAnsi="IBM Plex Serif" w:cs="IBM Plex Serif" w:eastAsia="IBM Plex Serif"/>
          <w:b w:val="0"/>
          <w:i w:val="0"/>
          <w:color w:val="1C1A17"/>
          <w:sz w:val="20"/>
        </w:rPr>
        <w:t>Diagramme d'états-transitions de la demande d'assistance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6.3   </w:t>
      </w:r>
      <w:r>
        <w:rPr>
          <w:rFonts w:ascii="IBM Plex Serif" w:hAnsi="IBM Plex Serif" w:cs="IBM Plex Serif" w:eastAsia="IBM Plex Serif"/>
          <w:b w:val="0"/>
          <w:i w:val="0"/>
          <w:color w:val="1C1A17"/>
          <w:sz w:val="20"/>
        </w:rPr>
        <w:t>Diagramme de séquence du parcours d'assistance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6.4   </w:t>
      </w:r>
      <w:r>
        <w:rPr>
          <w:rFonts w:ascii="IBM Plex Serif" w:hAnsi="IBM Plex Serif" w:cs="IBM Plex Serif" w:eastAsia="IBM Plex Serif"/>
          <w:b w:val="0"/>
          <w:i w:val="0"/>
          <w:color w:val="1C1A17"/>
          <w:sz w:val="20"/>
        </w:rPr>
        <w:t>Diagramme de séquence du mode dégradé</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6.5   </w:t>
      </w:r>
      <w:r>
        <w:rPr>
          <w:rFonts w:ascii="IBM Plex Serif" w:hAnsi="IBM Plex Serif" w:cs="IBM Plex Serif" w:eastAsia="IBM Plex Serif"/>
          <w:b w:val="0"/>
          <w:i w:val="0"/>
          <w:color w:val="1C1A17"/>
          <w:sz w:val="20"/>
        </w:rPr>
        <w:t>Diagramme d'activité de la déclaration de panne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6.6   </w:t>
      </w:r>
      <w:r>
        <w:rPr>
          <w:rFonts w:ascii="IBM Plex Serif" w:hAnsi="IBM Plex Serif" w:cs="IBM Plex Serif" w:eastAsia="IBM Plex Serif"/>
          <w:b w:val="0"/>
          <w:i w:val="0"/>
          <w:color w:val="1C1A17"/>
          <w:sz w:val="20"/>
        </w:rPr>
        <w:t>Schéma de la base de données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52</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6.6.1   </w:t>
      </w:r>
      <w:r>
        <w:rPr>
          <w:rFonts w:ascii="IBM Plex Serif" w:hAnsi="IBM Plex Serif" w:cs="IBM Plex Serif" w:eastAsia="IBM Plex Serif"/>
          <w:b w:val="0"/>
          <w:i w:val="0"/>
          <w:color w:val="55514A"/>
          <w:sz w:val="18"/>
        </w:rPr>
        <w:t>Les règles métier inscrites comme contraintes</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53</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6.6.2   </w:t>
      </w:r>
      <w:r>
        <w:rPr>
          <w:rFonts w:ascii="IBM Plex Serif" w:hAnsi="IBM Plex Serif" w:cs="IBM Plex Serif" w:eastAsia="IBM Plex Serif"/>
          <w:b w:val="0"/>
          <w:i w:val="0"/>
          <w:color w:val="55514A"/>
          <w:sz w:val="18"/>
        </w:rPr>
        <w:t>La requête de pertinence</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54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6.7   </w:t>
      </w:r>
      <w:r>
        <w:rPr>
          <w:rFonts w:ascii="IBM Plex Serif" w:hAnsi="IBM Plex Serif" w:cs="IBM Plex Serif" w:eastAsia="IBM Plex Serif"/>
          <w:b w:val="0"/>
          <w:i w:val="0"/>
          <w:color w:val="1C1A17"/>
          <w:sz w:val="20"/>
        </w:rPr>
        <w:t>La preuve d'arrivée et le registre des commissions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6.8   </w:t>
      </w:r>
      <w:r>
        <w:rPr>
          <w:rFonts w:ascii="IBM Plex Serif" w:hAnsi="IBM Plex Serif" w:cs="IBM Plex Serif" w:eastAsia="IBM Plex Serif"/>
          <w:b w:val="0"/>
          <w:i w:val="0"/>
          <w:color w:val="1C1A17"/>
          <w:sz w:val="20"/>
        </w:rPr>
        <w:t>Contrats de l'interface de programmation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6.9   </w:t>
      </w:r>
      <w:r>
        <w:rPr>
          <w:rFonts w:ascii="IBM Plex Serif" w:hAnsi="IBM Plex Serif" w:cs="IBM Plex Serif" w:eastAsia="IBM Plex Serif"/>
          <w:b w:val="0"/>
          <w:i w:val="0"/>
          <w:color w:val="1C1A17"/>
          <w:sz w:val="20"/>
        </w:rPr>
        <w:t>Protocole temps réel</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6.10   </w:t>
      </w:r>
      <w:r>
        <w:rPr>
          <w:rFonts w:ascii="IBM Plex Serif" w:hAnsi="IBM Plex Serif" w:cs="IBM Plex Serif" w:eastAsia="IBM Plex Serif"/>
          <w:b w:val="0"/>
          <w:i w:val="0"/>
          <w:color w:val="1C1A17"/>
          <w:sz w:val="20"/>
        </w:rPr>
        <w:t>Dispositif anti-fraude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59</w:t>
      </w:r>
    </w:p>
    <w:p>
      <w:pPr>
        <w:tabs>
          <w:tab w:pos="9298" w:val="right" w:leader="hyphen"/>
        </w:tabs>
        <w:spacing w:after="140" w:before="180"/>
        <w:ind w:left="0"/>
      </w:pPr>
      <w:r>
        <w:rPr>
          <w:rFonts w:ascii="IBM Plex Sans" w:hAnsi="IBM Plex Sans" w:cs="IBM Plex Sans" w:eastAsia="IBM Plex Sans"/>
          <w:b/>
          <w:i w:val="0"/>
          <w:color w:val="C62A26"/>
          <w:sz w:val="23"/>
        </w:rPr>
        <w:t xml:space="preserve">7   </w:t>
      </w:r>
      <w:r>
        <w:rPr>
          <w:rFonts w:ascii="Bebas Neue" w:hAnsi="Bebas Neue" w:cs="Bebas Neue" w:eastAsia="Bebas Neue"/>
          <w:b w:val="0"/>
          <w:i w:val="0"/>
          <w:color w:val="1C1A17"/>
          <w:sz w:val="28"/>
        </w:rPr>
        <w:t>Choix techniques et justifications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61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7.1   </w:t>
      </w:r>
      <w:r>
        <w:rPr>
          <w:rFonts w:ascii="IBM Plex Serif" w:hAnsi="IBM Plex Serif" w:cs="IBM Plex Serif" w:eastAsia="IBM Plex Serif"/>
          <w:b w:val="0"/>
          <w:i w:val="0"/>
          <w:color w:val="1C1A17"/>
          <w:sz w:val="20"/>
        </w:rPr>
        <w:t>Monorepo et contrats partagés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7.2   </w:t>
      </w:r>
      <w:r>
        <w:rPr>
          <w:rFonts w:ascii="IBM Plex Serif" w:hAnsi="IBM Plex Serif" w:cs="IBM Plex Serif" w:eastAsia="IBM Plex Serif"/>
          <w:b w:val="0"/>
          <w:i w:val="0"/>
          <w:color w:val="1C1A17"/>
          <w:sz w:val="20"/>
        </w:rPr>
        <w:t>PostgreSQL avec extension géospatiale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7.3   </w:t>
      </w:r>
      <w:r>
        <w:rPr>
          <w:rFonts w:ascii="IBM Plex Serif" w:hAnsi="IBM Plex Serif" w:cs="IBM Plex Serif" w:eastAsia="IBM Plex Serif"/>
          <w:b w:val="0"/>
          <w:i w:val="0"/>
          <w:color w:val="1C1A17"/>
          <w:sz w:val="20"/>
        </w:rPr>
        <w:t>Constructeur de requêtes typé plutôt qu'ORM complet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7.4   </w:t>
      </w:r>
      <w:r>
        <w:rPr>
          <w:rFonts w:ascii="IBM Plex Serif" w:hAnsi="IBM Plex Serif" w:cs="IBM Plex Serif" w:eastAsia="IBM Plex Serif"/>
          <w:b w:val="0"/>
          <w:i w:val="0"/>
          <w:color w:val="1C1A17"/>
          <w:sz w:val="20"/>
        </w:rPr>
        <w:t>Rendu cartographique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7.5   </w:t>
      </w:r>
      <w:r>
        <w:rPr>
          <w:rFonts w:ascii="IBM Plex Serif" w:hAnsi="IBM Plex Serif" w:cs="IBM Plex Serif" w:eastAsia="IBM Plex Serif"/>
          <w:b w:val="0"/>
          <w:i w:val="0"/>
          <w:color w:val="1C1A17"/>
          <w:sz w:val="20"/>
        </w:rPr>
        <w:t>Canal temps réel</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7.6   </w:t>
      </w:r>
      <w:r>
        <w:rPr>
          <w:rFonts w:ascii="IBM Plex Serif" w:hAnsi="IBM Plex Serif" w:cs="IBM Plex Serif" w:eastAsia="IBM Plex Serif"/>
          <w:b w:val="0"/>
          <w:i w:val="0"/>
          <w:color w:val="1C1A17"/>
          <w:sz w:val="20"/>
        </w:rPr>
        <w:t>React Native et Expo</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7.7   </w:t>
      </w:r>
      <w:r>
        <w:rPr>
          <w:rFonts w:ascii="IBM Plex Serif" w:hAnsi="IBM Plex Serif" w:cs="IBM Plex Serif" w:eastAsia="IBM Plex Serif"/>
          <w:b w:val="0"/>
          <w:i w:val="0"/>
          <w:color w:val="1C1A17"/>
          <w:sz w:val="20"/>
        </w:rPr>
        <w:t>Répartition de l'état côté mobile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7.8   </w:t>
      </w:r>
      <w:r>
        <w:rPr>
          <w:rFonts w:ascii="IBM Plex Serif" w:hAnsi="IBM Plex Serif" w:cs="IBM Plex Serif" w:eastAsia="IBM Plex Serif"/>
          <w:b w:val="0"/>
          <w:i w:val="0"/>
          <w:color w:val="1C1A17"/>
          <w:sz w:val="20"/>
        </w:rPr>
        <w:t>Stockage des photographies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7.9   </w:t>
      </w:r>
      <w:r>
        <w:rPr>
          <w:rFonts w:ascii="IBM Plex Serif" w:hAnsi="IBM Plex Serif" w:cs="IBM Plex Serif" w:eastAsia="IBM Plex Serif"/>
          <w:b w:val="0"/>
          <w:i w:val="0"/>
          <w:color w:val="1C1A17"/>
          <w:sz w:val="20"/>
        </w:rPr>
        <w:t>Synthèse des choix</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65</w:t>
      </w:r>
    </w:p>
    <w:p>
      <w:pPr>
        <w:tabs>
          <w:tab w:pos="9298" w:val="right" w:leader="hyphen"/>
        </w:tabs>
        <w:spacing w:after="140" w:before="180"/>
        <w:ind w:left="0"/>
      </w:pPr>
      <w:r>
        <w:rPr>
          <w:rFonts w:ascii="IBM Plex Sans" w:hAnsi="IBM Plex Sans" w:cs="IBM Plex Sans" w:eastAsia="IBM Plex Sans"/>
          <w:b/>
          <w:i w:val="0"/>
          <w:color w:val="C62A26"/>
          <w:sz w:val="23"/>
        </w:rPr>
        <w:t xml:space="preserve">8   </w:t>
      </w:r>
      <w:r>
        <w:rPr>
          <w:rFonts w:ascii="Bebas Neue" w:hAnsi="Bebas Neue" w:cs="Bebas Neue" w:eastAsia="Bebas Neue"/>
          <w:b w:val="0"/>
          <w:i w:val="0"/>
          <w:color w:val="1C1A17"/>
          <w:sz w:val="28"/>
        </w:rPr>
        <w:t>Résultats obtenus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66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8.1   </w:t>
      </w:r>
      <w:r>
        <w:rPr>
          <w:rFonts w:ascii="IBM Plex Serif" w:hAnsi="IBM Plex Serif" w:cs="IBM Plex Serif" w:eastAsia="IBM Plex Serif"/>
          <w:b w:val="0"/>
          <w:i w:val="0"/>
          <w:color w:val="1C1A17"/>
          <w:sz w:val="20"/>
        </w:rPr>
        <w:t>État d'avancement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8.2   </w:t>
      </w:r>
      <w:r>
        <w:rPr>
          <w:rFonts w:ascii="IBM Plex Serif" w:hAnsi="IBM Plex Serif" w:cs="IBM Plex Serif" w:eastAsia="IBM Plex Serif"/>
          <w:b w:val="0"/>
          <w:i w:val="0"/>
          <w:color w:val="1C1A17"/>
          <w:sz w:val="20"/>
        </w:rPr>
        <w:t>Les interfaces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67</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8.2.1   </w:t>
      </w:r>
      <w:r>
        <w:rPr>
          <w:rFonts w:ascii="IBM Plex Serif" w:hAnsi="IBM Plex Serif" w:cs="IBM Plex Serif" w:eastAsia="IBM Plex Serif"/>
          <w:b w:val="0"/>
          <w:i w:val="0"/>
          <w:color w:val="55514A"/>
          <w:sz w:val="18"/>
        </w:rPr>
        <w:t>Lancement et carte principale</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67</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8.2.2   </w:t>
      </w:r>
      <w:r>
        <w:rPr>
          <w:rFonts w:ascii="IBM Plex Serif" w:hAnsi="IBM Plex Serif" w:cs="IBM Plex Serif" w:eastAsia="IBM Plex Serif"/>
          <w:b w:val="0"/>
          <w:i w:val="0"/>
          <w:color w:val="55514A"/>
          <w:sz w:val="18"/>
        </w:rPr>
        <w:t>Déclaration de panne et résultats</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68</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8.2.3   </w:t>
      </w:r>
      <w:r>
        <w:rPr>
          <w:rFonts w:ascii="IBM Plex Serif" w:hAnsi="IBM Plex Serif" w:cs="IBM Plex Serif" w:eastAsia="IBM Plex Serif"/>
          <w:b w:val="0"/>
          <w:i w:val="0"/>
          <w:color w:val="55514A"/>
          <w:sz w:val="18"/>
        </w:rPr>
        <w:t>Itinéraire, suivi et avis</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69</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8.2.4   </w:t>
      </w:r>
      <w:r>
        <w:rPr>
          <w:rFonts w:ascii="IBM Plex Serif" w:hAnsi="IBM Plex Serif" w:cs="IBM Plex Serif" w:eastAsia="IBM Plex Serif"/>
          <w:b w:val="0"/>
          <w:i w:val="0"/>
          <w:color w:val="55514A"/>
          <w:sz w:val="18"/>
        </w:rPr>
        <w:t>Mode conduite</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70</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8.2.5   </w:t>
      </w:r>
      <w:r>
        <w:rPr>
          <w:rFonts w:ascii="IBM Plex Serif" w:hAnsi="IBM Plex Serif" w:cs="IBM Plex Serif" w:eastAsia="IBM Plex Serif"/>
          <w:b w:val="0"/>
          <w:i w:val="0"/>
          <w:color w:val="55514A"/>
          <w:sz w:val="18"/>
        </w:rPr>
        <w:t>Le choix du mode et la conduite vers l'atelier</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70</w:t>
      </w:r>
    </w:p>
    <w:p>
      <w:pPr>
        <w:tabs>
          <w:tab w:pos="9298" w:val="right" w:leader="hyphen"/>
        </w:tabs>
        <w:spacing w:after="60" w:before="0"/>
        <w:ind w:left="794"/>
      </w:pPr>
      <w:r>
        <w:rPr>
          <w:rFonts w:ascii="IBM Plex Sans" w:hAnsi="IBM Plex Sans" w:cs="IBM Plex Sans" w:eastAsia="IBM Plex Sans"/>
          <w:b w:val="0"/>
          <w:i w:val="0"/>
          <w:color w:val="55514A"/>
          <w:sz w:val="18"/>
        </w:rPr>
        <w:t xml:space="preserve">8.2.6   </w:t>
      </w:r>
      <w:r>
        <w:rPr>
          <w:rFonts w:ascii="IBM Plex Serif" w:hAnsi="IBM Plex Serif" w:cs="IBM Plex Serif" w:eastAsia="IBM Plex Serif"/>
          <w:b w:val="0"/>
          <w:i w:val="0"/>
          <w:color w:val="55514A"/>
          <w:sz w:val="18"/>
        </w:rPr>
        <w:t>Fidélité, menu et paramètres</w:t>
      </w:r>
      <w:r>
        <w:rPr>
          <w:rFonts w:ascii="IBM Plex Serif" w:hAnsi="IBM Plex Serif" w:cs="IBM Plex Serif" w:eastAsia="IBM Plex Serif"/>
          <w:b w:val="0"/>
          <w:i w:val="0"/>
          <w:color w:val="1C1A17"/>
          <w:sz w:val="18"/>
        </w:rPr>
        <w:tab/>
      </w:r>
      <w:r>
        <w:rPr>
          <w:rFonts w:ascii="IBM Plex Mono" w:hAnsi="IBM Plex Mono" w:cs="IBM Plex Mono" w:eastAsia="IBM Plex Mono"/>
          <w:b w:val="0"/>
          <w:i w:val="0"/>
          <w:color w:val="55514A"/>
          <w:sz w:val="17"/>
        </w:rPr>
        <w:t>71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8.3   </w:t>
      </w:r>
      <w:r>
        <w:rPr>
          <w:rFonts w:ascii="IBM Plex Serif" w:hAnsi="IBM Plex Serif" w:cs="IBM Plex Serif" w:eastAsia="IBM Plex Serif"/>
          <w:b w:val="0"/>
          <w:i w:val="0"/>
          <w:color w:val="1C1A17"/>
          <w:sz w:val="20"/>
        </w:rPr>
        <w:t>Tests et validation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8.4   </w:t>
      </w:r>
      <w:r>
        <w:rPr>
          <w:rFonts w:ascii="IBM Plex Serif" w:hAnsi="IBM Plex Serif" w:cs="IBM Plex Serif" w:eastAsia="IBM Plex Serif"/>
          <w:b w:val="0"/>
          <w:i w:val="0"/>
          <w:color w:val="1C1A17"/>
          <w:sz w:val="20"/>
        </w:rPr>
        <w:t>Ce qui reste à faire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73</w:t>
      </w:r>
    </w:p>
    <w:p>
      <w:pPr>
        <w:tabs>
          <w:tab w:pos="9298" w:val="right" w:leader="hyphen"/>
        </w:tabs>
        <w:spacing w:after="140" w:before="180"/>
        <w:ind w:left="0"/>
      </w:pPr>
      <w:r>
        <w:rPr>
          <w:rFonts w:ascii="IBM Plex Sans" w:hAnsi="IBM Plex Sans" w:cs="IBM Plex Sans" w:eastAsia="IBM Plex Sans"/>
          <w:b/>
          <w:i w:val="0"/>
          <w:color w:val="C62A26"/>
          <w:sz w:val="23"/>
        </w:rPr>
        <w:t xml:space="preserve">9   </w:t>
      </w:r>
      <w:r>
        <w:rPr>
          <w:rFonts w:ascii="Bebas Neue" w:hAnsi="Bebas Neue" w:cs="Bebas Neue" w:eastAsia="Bebas Neue"/>
          <w:b w:val="0"/>
          <w:i w:val="0"/>
          <w:color w:val="1C1A17"/>
          <w:sz w:val="28"/>
        </w:rPr>
        <w:t>Conclusion</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75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9.1   </w:t>
      </w:r>
      <w:r>
        <w:rPr>
          <w:rFonts w:ascii="IBM Plex Serif" w:hAnsi="IBM Plex Serif" w:cs="IBM Plex Serif" w:eastAsia="IBM Plex Serif"/>
          <w:b w:val="0"/>
          <w:i w:val="0"/>
          <w:color w:val="1C1A17"/>
          <w:sz w:val="20"/>
        </w:rPr>
        <w:t>Bilan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9.2   </w:t>
      </w:r>
      <w:r>
        <w:rPr>
          <w:rFonts w:ascii="IBM Plex Serif" w:hAnsi="IBM Plex Serif" w:cs="IBM Plex Serif" w:eastAsia="IBM Plex Serif"/>
          <w:b w:val="0"/>
          <w:i w:val="0"/>
          <w:color w:val="1C1A17"/>
          <w:sz w:val="20"/>
        </w:rPr>
        <w:t>Limites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9.3   </w:t>
      </w:r>
      <w:r>
        <w:rPr>
          <w:rFonts w:ascii="IBM Plex Serif" w:hAnsi="IBM Plex Serif" w:cs="IBM Plex Serif" w:eastAsia="IBM Plex Serif"/>
          <w:b w:val="0"/>
          <w:i w:val="0"/>
          <w:color w:val="1C1A17"/>
          <w:sz w:val="20"/>
        </w:rPr>
        <w:t>Perspectives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9.4   </w:t>
      </w:r>
      <w:r>
        <w:rPr>
          <w:rFonts w:ascii="IBM Plex Serif" w:hAnsi="IBM Plex Serif" w:cs="IBM Plex Serif" w:eastAsia="IBM Plex Serif"/>
          <w:b w:val="0"/>
          <w:i w:val="0"/>
          <w:color w:val="1C1A17"/>
          <w:sz w:val="20"/>
        </w:rPr>
        <w:t>Références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76</w:t>
      </w:r>
    </w:p>
    <w:p>
      <w:pPr>
        <w:spacing w:before="360" w:after="240"/>
        <w:pBdr>
          <w:bottom w:val="single" w:sz="8" w:space="6" w:color="C62A26"/>
        </w:pBdr>
      </w:pPr>
      <w:r>
        <w:rPr>
          <w:rFonts w:ascii="Bebas Neue" w:hAnsi="Bebas Neue" w:cs="Bebas Neue" w:eastAsia="Bebas Neue"/>
          <w:b w:val="0"/>
          <w:i w:val="0"/>
          <w:color w:val="1C1A17"/>
          <w:sz w:val="42"/>
          <w:spacing w:val="10"/>
        </w:rPr>
        <w:t>Table des figures</w:t>
      </w:r>
    </w:p>
    <w:p>
      <w:pPr>
        <w:tabs>
          <w:tab w:pos="9298" w:val="right" w:leader="hyphen"/>
        </w:tabs>
        <w:spacing w:after="60"/>
      </w:pPr>
      <w:r>
        <w:rPr>
          <w:rFonts w:ascii="IBM Plex Sans" w:hAnsi="IBM Plex Sans" w:cs="IBM Plex Sans" w:eastAsia="IBM Plex Sans"/>
          <w:b/>
          <w:i w:val="0"/>
          <w:color w:val="C62A26"/>
          <w:sz w:val="19"/>
        </w:rPr>
        <w:t xml:space="preserve">Figure 1   </w:t>
      </w:r>
      <w:r>
        <w:rPr>
          <w:rFonts w:ascii="IBM Plex Serif" w:hAnsi="IBM Plex Serif" w:cs="IBM Plex Serif" w:eastAsia="IBM Plex Serif"/>
          <w:b w:val="0"/>
          <w:i w:val="0"/>
          <w:color w:val="1C1A17"/>
          <w:sz w:val="19"/>
        </w:rPr>
        <w:t>Architecture générale : couches, responsabilités et dépendances externes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19</w:t>
      </w:r>
    </w:p>
    <w:p>
      <w:pPr>
        <w:tabs>
          <w:tab w:pos="9298" w:val="right" w:leader="hyphen"/>
        </w:tabs>
        <w:spacing w:after="60"/>
      </w:pPr>
      <w:r>
        <w:rPr>
          <w:rFonts w:ascii="IBM Plex Sans" w:hAnsi="IBM Plex Sans" w:cs="IBM Plex Sans" w:eastAsia="IBM Plex Sans"/>
          <w:b/>
          <w:i w:val="0"/>
          <w:color w:val="C62A26"/>
          <w:sz w:val="19"/>
        </w:rPr>
        <w:t xml:space="preserve">Figure 2   </w:t>
      </w:r>
      <w:r>
        <w:rPr>
          <w:rFonts w:ascii="IBM Plex Serif" w:hAnsi="IBM Plex Serif" w:cs="IBM Plex Serif" w:eastAsia="IBM Plex Serif"/>
          <w:b w:val="0"/>
          <w:i w:val="0"/>
          <w:color w:val="1C1A17"/>
          <w:sz w:val="19"/>
        </w:rPr>
        <w:t>Les deux modes de service : un mode est une géométrie, c'est-à-dire un couple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21</w:t>
      </w:r>
    </w:p>
    <w:p>
      <w:pPr>
        <w:tabs>
          <w:tab w:pos="9298" w:val="right" w:leader="hyphen"/>
        </w:tabs>
        <w:spacing w:after="60"/>
      </w:pPr>
      <w:r>
        <w:rPr>
          <w:rFonts w:ascii="IBM Plex Sans" w:hAnsi="IBM Plex Sans" w:cs="IBM Plex Sans" w:eastAsia="IBM Plex Sans"/>
          <w:b/>
          <w:i w:val="0"/>
          <w:color w:val="C62A26"/>
          <w:sz w:val="19"/>
        </w:rPr>
        <w:t xml:space="preserve">Figure 3   </w:t>
      </w:r>
      <w:r>
        <w:rPr>
          <w:rFonts w:ascii="IBM Plex Serif" w:hAnsi="IBM Plex Serif" w:cs="IBM Plex Serif" w:eastAsia="IBM Plex Serif"/>
          <w:b w:val="0"/>
          <w:i w:val="0"/>
          <w:color w:val="1C1A17"/>
          <w:sz w:val="19"/>
        </w:rPr>
        <w:t>Diagramme de cas d'utilisation : acteurs, paquets fonctionnels et relations d'inclusion et d'extension</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22</w:t>
      </w:r>
    </w:p>
    <w:p>
      <w:pPr>
        <w:tabs>
          <w:tab w:pos="9298" w:val="right" w:leader="hyphen"/>
        </w:tabs>
        <w:spacing w:after="60"/>
      </w:pPr>
      <w:r>
        <w:rPr>
          <w:rFonts w:ascii="IBM Plex Sans" w:hAnsi="IBM Plex Sans" w:cs="IBM Plex Sans" w:eastAsia="IBM Plex Sans"/>
          <w:b/>
          <w:i w:val="0"/>
          <w:color w:val="C62A26"/>
          <w:sz w:val="19"/>
        </w:rPr>
        <w:t xml:space="preserve">Figure 4   </w:t>
      </w:r>
      <w:r>
        <w:rPr>
          <w:rFonts w:ascii="IBM Plex Serif" w:hAnsi="IBM Plex Serif" w:cs="IBM Plex Serif" w:eastAsia="IBM Plex Serif"/>
          <w:b w:val="0"/>
          <w:i w:val="0"/>
          <w:color w:val="1C1A17"/>
          <w:sz w:val="19"/>
        </w:rPr>
        <w:t>Diagramme de classes du domaine : entités, attributs, opérations et cardinalités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45</w:t>
      </w:r>
    </w:p>
    <w:p>
      <w:pPr>
        <w:tabs>
          <w:tab w:pos="9298" w:val="right" w:leader="hyphen"/>
        </w:tabs>
        <w:spacing w:after="60"/>
      </w:pPr>
      <w:r>
        <w:rPr>
          <w:rFonts w:ascii="IBM Plex Sans" w:hAnsi="IBM Plex Sans" w:cs="IBM Plex Sans" w:eastAsia="IBM Plex Sans"/>
          <w:b/>
          <w:i w:val="0"/>
          <w:color w:val="C62A26"/>
          <w:sz w:val="19"/>
        </w:rPr>
        <w:t xml:space="preserve">Figure 5   </w:t>
      </w:r>
      <w:r>
        <w:rPr>
          <w:rFonts w:ascii="IBM Plex Serif" w:hAnsi="IBM Plex Serif" w:cs="IBM Plex Serif" w:eastAsia="IBM Plex Serif"/>
          <w:b w:val="0"/>
          <w:i w:val="0"/>
          <w:color w:val="1C1A17"/>
          <w:sz w:val="19"/>
        </w:rPr>
        <w:t>Cycle de vie d'une demande d'assistance, avec la garde inscrite en base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47</w:t>
      </w:r>
    </w:p>
    <w:p>
      <w:pPr>
        <w:tabs>
          <w:tab w:pos="9298" w:val="right" w:leader="hyphen"/>
        </w:tabs>
        <w:spacing w:after="60"/>
      </w:pPr>
      <w:r>
        <w:rPr>
          <w:rFonts w:ascii="IBM Plex Sans" w:hAnsi="IBM Plex Sans" w:cs="IBM Plex Sans" w:eastAsia="IBM Plex Sans"/>
          <w:b/>
          <w:i w:val="0"/>
          <w:color w:val="C62A26"/>
          <w:sz w:val="19"/>
        </w:rPr>
        <w:t xml:space="preserve">Figure 6   </w:t>
      </w:r>
      <w:r>
        <w:rPr>
          <w:rFonts w:ascii="IBM Plex Serif" w:hAnsi="IBM Plex Serif" w:cs="IBM Plex Serif" w:eastAsia="IBM Plex Serif"/>
          <w:b w:val="0"/>
          <w:i w:val="0"/>
          <w:color w:val="1C1A17"/>
          <w:sz w:val="19"/>
        </w:rPr>
        <w:t>Séquence complète d'une intervention, de la déclaration de panne à la clôture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49</w:t>
      </w:r>
    </w:p>
    <w:p>
      <w:pPr>
        <w:tabs>
          <w:tab w:pos="9298" w:val="right" w:leader="hyphen"/>
        </w:tabs>
        <w:spacing w:after="60"/>
      </w:pPr>
      <w:r>
        <w:rPr>
          <w:rFonts w:ascii="IBM Plex Sans" w:hAnsi="IBM Plex Sans" w:cs="IBM Plex Sans" w:eastAsia="IBM Plex Sans"/>
          <w:b/>
          <w:i w:val="0"/>
          <w:color w:val="C62A26"/>
          <w:sz w:val="19"/>
        </w:rPr>
        <w:t xml:space="preserve">Figure 7   </w:t>
      </w:r>
      <w:r>
        <w:rPr>
          <w:rFonts w:ascii="IBM Plex Serif" w:hAnsi="IBM Plex Serif" w:cs="IBM Plex Serif" w:eastAsia="IBM Plex Serif"/>
          <w:b w:val="0"/>
          <w:i w:val="0"/>
          <w:color w:val="1C1A17"/>
          <w:sz w:val="19"/>
        </w:rPr>
        <w:t>Perte de connexion, bascule en mode dégradé et rattrapage par rejeu du journal</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50</w:t>
      </w:r>
    </w:p>
    <w:p>
      <w:pPr>
        <w:tabs>
          <w:tab w:pos="9298" w:val="right" w:leader="hyphen"/>
        </w:tabs>
        <w:spacing w:after="60"/>
      </w:pPr>
      <w:r>
        <w:rPr>
          <w:rFonts w:ascii="IBM Plex Sans" w:hAnsi="IBM Plex Sans" w:cs="IBM Plex Sans" w:eastAsia="IBM Plex Sans"/>
          <w:b/>
          <w:i w:val="0"/>
          <w:color w:val="C62A26"/>
          <w:sz w:val="19"/>
        </w:rPr>
        <w:t xml:space="preserve">Figure 8   </w:t>
      </w:r>
      <w:r>
        <w:rPr>
          <w:rFonts w:ascii="IBM Plex Serif" w:hAnsi="IBM Plex Serif" w:cs="IBM Plex Serif" w:eastAsia="IBM Plex Serif"/>
          <w:b w:val="0"/>
          <w:i w:val="0"/>
          <w:color w:val="1C1A17"/>
          <w:sz w:val="19"/>
        </w:rPr>
        <w:t>Activité de déclaration de panne, réparties entre le client, l'application et le serveur</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51</w:t>
      </w:r>
    </w:p>
    <w:p>
      <w:pPr>
        <w:tabs>
          <w:tab w:pos="9298" w:val="right" w:leader="hyphen"/>
        </w:tabs>
        <w:spacing w:after="60"/>
      </w:pPr>
      <w:r>
        <w:rPr>
          <w:rFonts w:ascii="IBM Plex Sans" w:hAnsi="IBM Plex Sans" w:cs="IBM Plex Sans" w:eastAsia="IBM Plex Sans"/>
          <w:b/>
          <w:i w:val="0"/>
          <w:color w:val="C62A26"/>
          <w:sz w:val="19"/>
        </w:rPr>
        <w:t xml:space="preserve">Figure 9   </w:t>
      </w:r>
      <w:r>
        <w:rPr>
          <w:rFonts w:ascii="IBM Plex Serif" w:hAnsi="IBM Plex Serif" w:cs="IBM Plex Serif" w:eastAsia="IBM Plex Serif"/>
          <w:b w:val="0"/>
          <w:i w:val="0"/>
          <w:color w:val="1C1A17"/>
          <w:sz w:val="19"/>
        </w:rPr>
        <w:t>Modèle physique de données : quatorze tables, clés, contraintes et index</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53</w:t>
      </w:r>
    </w:p>
    <w:p>
      <w:pPr>
        <w:tabs>
          <w:tab w:pos="9298" w:val="right" w:leader="hyphen"/>
        </w:tabs>
        <w:spacing w:after="60"/>
      </w:pPr>
      <w:r>
        <w:rPr>
          <w:rFonts w:ascii="IBM Plex Sans" w:hAnsi="IBM Plex Sans" w:cs="IBM Plex Sans" w:eastAsia="IBM Plex Sans"/>
          <w:b/>
          <w:i w:val="0"/>
          <w:color w:val="C62A26"/>
          <w:sz w:val="19"/>
        </w:rPr>
        <w:t xml:space="preserve">Figure 10   </w:t>
      </w:r>
      <w:r>
        <w:rPr>
          <w:rFonts w:ascii="IBM Plex Serif" w:hAnsi="IBM Plex Serif" w:cs="IBM Plex Serif" w:eastAsia="IBM Plex Serif"/>
          <w:b w:val="0"/>
          <w:i w:val="0"/>
          <w:color w:val="1C1A17"/>
          <w:sz w:val="19"/>
        </w:rPr>
        <w:t>Écran de lancement avec acquisition de la position, et carte principale avec marqueurs numérotés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67</w:t>
      </w:r>
    </w:p>
    <w:p>
      <w:pPr>
        <w:tabs>
          <w:tab w:pos="9298" w:val="right" w:leader="hyphen"/>
        </w:tabs>
        <w:spacing w:after="60"/>
      </w:pPr>
      <w:r>
        <w:rPr>
          <w:rFonts w:ascii="IBM Plex Sans" w:hAnsi="IBM Plex Sans" w:cs="IBM Plex Sans" w:eastAsia="IBM Plex Sans"/>
          <w:b/>
          <w:i w:val="0"/>
          <w:color w:val="C62A26"/>
          <w:sz w:val="19"/>
        </w:rPr>
        <w:t xml:space="preserve">Figure 11   </w:t>
      </w:r>
      <w:r>
        <w:rPr>
          <w:rFonts w:ascii="IBM Plex Serif" w:hAnsi="IBM Plex Serif" w:cs="IBM Plex Serif" w:eastAsia="IBM Plex Serif"/>
          <w:b w:val="0"/>
          <w:i w:val="0"/>
          <w:color w:val="1C1A17"/>
          <w:sz w:val="19"/>
        </w:rPr>
        <w:t>Déclaration de panne avec tri automatique des problèmes, et résultats classés avec fiche contextuelle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68</w:t>
      </w:r>
    </w:p>
    <w:p>
      <w:pPr>
        <w:tabs>
          <w:tab w:pos="9298" w:val="right" w:leader="hyphen"/>
        </w:tabs>
        <w:spacing w:after="60"/>
      </w:pPr>
      <w:r>
        <w:rPr>
          <w:rFonts w:ascii="IBM Plex Sans" w:hAnsi="IBM Plex Sans" w:cs="IBM Plex Sans" w:eastAsia="IBM Plex Sans"/>
          <w:b/>
          <w:i w:val="0"/>
          <w:color w:val="C62A26"/>
          <w:sz w:val="19"/>
        </w:rPr>
        <w:t xml:space="preserve">Figure 12   </w:t>
      </w:r>
      <w:r>
        <w:rPr>
          <w:rFonts w:ascii="IBM Plex Serif" w:hAnsi="IBM Plex Serif" w:cs="IBM Plex Serif" w:eastAsia="IBM Plex Serif"/>
          <w:b w:val="0"/>
          <w:i w:val="0"/>
          <w:color w:val="1C1A17"/>
          <w:sz w:val="19"/>
        </w:rPr>
        <w:t>Suivi bidirectionnel avec double estimation d'arrivée, et fiche complète d'un garage avec ses avis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69</w:t>
      </w:r>
    </w:p>
    <w:p>
      <w:pPr>
        <w:tabs>
          <w:tab w:pos="9298" w:val="right" w:leader="hyphen"/>
        </w:tabs>
        <w:spacing w:after="60"/>
      </w:pPr>
      <w:r>
        <w:rPr>
          <w:rFonts w:ascii="IBM Plex Sans" w:hAnsi="IBM Plex Sans" w:cs="IBM Plex Sans" w:eastAsia="IBM Plex Sans"/>
          <w:b/>
          <w:i w:val="0"/>
          <w:color w:val="C62A26"/>
          <w:sz w:val="19"/>
        </w:rPr>
        <w:t xml:space="preserve">Figure 13   </w:t>
      </w:r>
      <w:r>
        <w:rPr>
          <w:rFonts w:ascii="IBM Plex Serif" w:hAnsi="IBM Plex Serif" w:cs="IBM Plex Serif" w:eastAsia="IBM Plex Serif"/>
          <w:b w:val="0"/>
          <w:i w:val="0"/>
          <w:color w:val="1C1A17"/>
          <w:sz w:val="19"/>
        </w:rPr>
        <w:t>Mode conduite au repos et en session, avec vitesse, statistiques et pile d'alertes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70</w:t>
      </w:r>
    </w:p>
    <w:p>
      <w:pPr>
        <w:tabs>
          <w:tab w:pos="9298" w:val="right" w:leader="hyphen"/>
        </w:tabs>
        <w:spacing w:after="60"/>
      </w:pPr>
      <w:r>
        <w:rPr>
          <w:rFonts w:ascii="IBM Plex Sans" w:hAnsi="IBM Plex Sans" w:cs="IBM Plex Sans" w:eastAsia="IBM Plex Sans"/>
          <w:b/>
          <w:i w:val="0"/>
          <w:color w:val="C62A26"/>
          <w:sz w:val="19"/>
        </w:rPr>
        <w:t xml:space="preserve">Figure 14   </w:t>
      </w:r>
      <w:r>
        <w:rPr>
          <w:rFonts w:ascii="IBM Plex Serif" w:hAnsi="IBM Plex Serif" w:cs="IBM Plex Serif" w:eastAsia="IBM Plex Serif"/>
          <w:b w:val="0"/>
          <w:i w:val="0"/>
          <w:color w:val="1C1A17"/>
          <w:sz w:val="19"/>
        </w:rPr>
        <w:t>Espace de fidélité avec grade et progression, et tiroir latéral de navigation</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71</w:t>
      </w:r>
    </w:p>
    <w:p>
      <w:pPr>
        <w:tabs>
          <w:tab w:pos="9298" w:val="right" w:leader="hyphen"/>
        </w:tabs>
        <w:spacing w:after="60"/>
      </w:pPr>
      <w:r>
        <w:rPr>
          <w:rFonts w:ascii="IBM Plex Sans" w:hAnsi="IBM Plex Sans" w:cs="IBM Plex Sans" w:eastAsia="IBM Plex Sans"/>
          <w:b/>
          <w:i w:val="0"/>
          <w:color w:val="C62A26"/>
          <w:sz w:val="19"/>
        </w:rPr>
        <w:t xml:space="preserve">Figure 15   </w:t>
      </w:r>
      <w:r>
        <w:rPr>
          <w:rFonts w:ascii="IBM Plex Serif" w:hAnsi="IBM Plex Serif" w:cs="IBM Plex Serif" w:eastAsia="IBM Plex Serif"/>
          <w:b w:val="0"/>
          <w:i w:val="0"/>
          <w:color w:val="1C1A17"/>
          <w:sz w:val="19"/>
        </w:rPr>
        <w:t>Écran de paramètres en mode sombre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72</w:t>
      </w:r>
    </w:p>
    <w:p>
      <w:pPr>
        <w:pageBreakBefore w:val="1"/>
        <w:spacing w:before="0" w:after="40"/>
      </w:pPr>
      <w:r>
        <w:rPr>
          <w:rFonts w:ascii="Bebas Neue" w:hAnsi="Bebas Neue" w:cs="Bebas Neue" w:eastAsia="Bebas Neue"/>
          <w:b w:val="0"/>
          <w:i w:val="0"/>
          <w:color w:val="C62A26"/>
          <w:sz w:val="22"/>
          <w:spacing w:val="38"/>
        </w:rPr>
        <w:t>CHAPITRE 1</w:t>
      </w:r>
    </w:p>
    <w:p>
      <w:pPr>
        <w:spacing w:after="320"/>
        <w:pBdr>
          <w:bottom w:val="single" w:sz="10" w:space="8" w:color="C62A26"/>
        </w:pBdr>
        <w:keepNext w:val="1"/>
      </w:pPr>
      <w:r>
        <w:rPr>
          <w:rFonts w:ascii="Bebas Neue" w:hAnsi="Bebas Neue" w:cs="Bebas Neue" w:eastAsia="Bebas Neue"/>
          <w:b w:val="0"/>
          <w:i w:val="0"/>
          <w:color w:val="1C1A17"/>
          <w:sz w:val="54"/>
          <w:spacing w:val="10"/>
        </w:rPr>
        <w:t>Introduction</w:t>
      </w:r>
    </w:p>
    <w:p>
      <w:pPr>
        <w:spacing w:before="320" w:after="100"/>
        <w:keepNext w:val="1"/>
      </w:pPr>
      <w:r>
        <w:rPr>
          <w:rFonts w:ascii="IBM Plex Mono" w:hAnsi="IBM Plex Mono" w:cs="IBM Plex Mono" w:eastAsia="IBM Plex Mono"/>
          <w:b/>
          <w:i w:val="0"/>
          <w:color w:val="C62A26"/>
          <w:sz w:val="26"/>
        </w:rPr>
        <w:t xml:space="preserve">1.1   </w:t>
      </w:r>
      <w:r>
        <w:rPr>
          <w:rFonts w:ascii="Bebas Neue" w:hAnsi="Bebas Neue" w:cs="Bebas Neue" w:eastAsia="Bebas Neue"/>
          <w:b w:val="0"/>
          <w:i w:val="0"/>
          <w:color w:val="1C1A17"/>
          <w:sz w:val="36"/>
          <w:spacing w:val="10"/>
        </w:rPr>
        <w:t>Contexte</w:t>
      </w:r>
    </w:p>
    <w:p>
      <w:pPr>
        <w:spacing w:before="0" w:after="80" w:line="312" w:lineRule="auto"/>
        <w:ind w:firstLine="397"/>
        <w:jc w:val="both"/>
      </w:pPr>
      <w:r>
        <w:rPr>
          <w:rFonts w:ascii="IBM Plex Serif" w:hAnsi="IBM Plex Serif" w:cs="IBM Plex Serif" w:eastAsia="IBM Plex Serif"/>
          <w:b w:val="0"/>
          <w:i w:val="0"/>
          <w:color w:val="1C1A17"/>
          <w:sz w:val="21"/>
        </w:rPr>
        <w:t>Le parc automobile camerounais est vieillissant, majoritairement composé de véhicules importés d'occasion, et il circule sur un réseau routier dont une partie notable n'est pas bitumée. La conséquence est mécanique au sens propre : la panne n'est pas un incident rare, c'est un événement ordinaire de la vie d'un conducteur. Batterie qui lâche, pneu crevé sur un nid-de-poule, surchauffe dans un embouteillage de fin d'après-midi, panne sèche parce que la jauge ment depuis deux ans. À Yaoundé, ville de collines où les rues secondaires se ressemblent et où les adresses formelles sont rares, un véhicule immobilisé pose immédiatement deux problèmes distincts : trouver quelqu'un capable d'intervenir, et lui expliquer où l'on se trouve.</w:t>
      </w:r>
    </w:p>
    <w:p>
      <w:pPr>
        <w:spacing w:before="0" w:after="80" w:line="312" w:lineRule="auto"/>
        <w:ind w:firstLine="397"/>
        <w:jc w:val="both"/>
      </w:pPr>
      <w:r>
        <w:rPr>
          <w:rFonts w:ascii="IBM Plex Serif" w:hAnsi="IBM Plex Serif" w:cs="IBM Plex Serif" w:eastAsia="IBM Plex Serif"/>
          <w:b w:val="0"/>
          <w:i w:val="0"/>
          <w:color w:val="1C1A17"/>
          <w:sz w:val="21"/>
        </w:rPr>
        <w:t>Le second problème est souvent le plus coûteux. Décrire sa position par téléphone, à quelqu'un qui ne connaît pas le quartier, en s'appuyant sur des repères — « après la station, en face du bar bleu, avant le carrefour » — prend du temps, produit des malentendus, et se solde régulièrement par un dépanneur qui tourne pendant vingt minutes à trois cents mètres de son client. Or ce temps est exactement celui pendant lequel le conducteur est arrêté sur une chaussée, parfois de nuit, parfois avec des passagers, parfois en un endroit où il préférerait ne pas rester.</w:t>
      </w:r>
    </w:p>
    <w:p>
      <w:pPr>
        <w:spacing w:before="0" w:after="80" w:line="312" w:lineRule="auto"/>
        <w:ind w:firstLine="397"/>
        <w:jc w:val="both"/>
      </w:pPr>
      <w:r>
        <w:rPr>
          <w:rFonts w:ascii="IBM Plex Serif" w:hAnsi="IBM Plex Serif" w:cs="IBM Plex Serif" w:eastAsia="IBM Plex Serif"/>
          <w:b w:val="0"/>
          <w:i w:val="0"/>
          <w:color w:val="1C1A17"/>
          <w:sz w:val="21"/>
        </w:rPr>
        <w:t>Dans le même temps, le téléphone que ce conducteur a dans la poche connaît sa position à quelques dizaines de mètres près, sait la transmettre, et pourrait la montrer à un garagiste sur une carte. C'est un décalage frappant entre la technologie disponible et la manière dont le service est réellement rendu. GeoCras existe pour combler ce décalage.</w:t>
      </w:r>
    </w:p>
    <w:p>
      <w:pPr>
        <w:spacing w:before="320" w:after="100"/>
        <w:keepNext w:val="1"/>
      </w:pPr>
      <w:r>
        <w:rPr>
          <w:rFonts w:ascii="IBM Plex Mono" w:hAnsi="IBM Plex Mono" w:cs="IBM Plex Mono" w:eastAsia="IBM Plex Mono"/>
          <w:b/>
          <w:i w:val="0"/>
          <w:color w:val="C62A26"/>
          <w:sz w:val="26"/>
        </w:rPr>
        <w:t xml:space="preserve">1.2   </w:t>
      </w:r>
      <w:r>
        <w:rPr>
          <w:rFonts w:ascii="Bebas Neue" w:hAnsi="Bebas Neue" w:cs="Bebas Neue" w:eastAsia="Bebas Neue"/>
          <w:b w:val="0"/>
          <w:i w:val="0"/>
          <w:color w:val="1C1A17"/>
          <w:sz w:val="36"/>
          <w:spacing w:val="10"/>
        </w:rPr>
        <w:t>Problématique</w:t>
      </w:r>
    </w:p>
    <w:p>
      <w:pPr>
        <w:spacing w:before="0" w:after="80" w:line="312" w:lineRule="auto"/>
        <w:ind w:firstLine="397"/>
        <w:jc w:val="both"/>
      </w:pPr>
      <w:r>
        <w:rPr>
          <w:rFonts w:ascii="IBM Plex Serif" w:hAnsi="IBM Plex Serif" w:cs="IBM Plex Serif" w:eastAsia="IBM Plex Serif"/>
          <w:b w:val="0"/>
          <w:i w:val="0"/>
          <w:color w:val="1C1A17"/>
          <w:sz w:val="21"/>
        </w:rPr>
        <w:t>La question à laquelle ce projet répond peut se formuler en une phrase : comment réduire le délai et l'incertitude entre le moment où un véhicule s'immobilise et le moment où un professionnel compétent se trouve à côté de lui ?</w:t>
      </w:r>
    </w:p>
    <w:p>
      <w:pPr>
        <w:spacing w:before="0" w:after="80" w:line="312" w:lineRule="auto"/>
        <w:ind w:firstLine="397"/>
        <w:jc w:val="both"/>
      </w:pPr>
      <w:r>
        <w:rPr>
          <w:rFonts w:ascii="IBM Plex Serif" w:hAnsi="IBM Plex Serif" w:cs="IBM Plex Serif" w:eastAsia="IBM Plex Serif"/>
          <w:b w:val="0"/>
          <w:i w:val="0"/>
          <w:color w:val="1C1A17"/>
          <w:sz w:val="21"/>
        </w:rPr>
        <w:t>Cette formulation contient déjà trois exigences qui ne sont pas interchangeables. Le délai suppose que l'on trouve vite, donc que le classement des garages proposés soit pertinent et non arbitraire. L'incertitude suppose que l'on sache où en est la demande à tout instant, donc un suivi et non une simple mise en relation. Et la compétence suppose que l'on puisse distinguer un atelier sérieux d'un atelier quelconque, donc un mécanisme de confiance qui résiste à la manipulation.</w:t>
      </w:r>
    </w:p>
    <w:p>
      <w:pPr>
        <w:spacing w:before="0" w:after="80" w:line="312" w:lineRule="auto"/>
        <w:ind w:firstLine="397"/>
        <w:jc w:val="both"/>
      </w:pPr>
      <w:r>
        <w:rPr>
          <w:rFonts w:ascii="IBM Plex Serif" w:hAnsi="IBM Plex Serif" w:cs="IBM Plex Serif" w:eastAsia="IBM Plex Serif"/>
          <w:b w:val="0"/>
          <w:i w:val="0"/>
          <w:color w:val="1C1A17"/>
          <w:sz w:val="21"/>
        </w:rPr>
        <w:t>S'y ajoute une contrainte de contexte qui traverse tout le projet et qui interdit un certain nombre de solutions apparemment évidentes : le réseau mobile camerounais est irrégulier, la couverture passe de la 4G à la 2G en changeant de rue, les coupures sont fréquentes, et les forfaits de données se comptent. Une application qui suppose une connexion permanente et abondante ne fonctionnera pas ici. Une application dont la fonction principale est de servir quelqu'un en difficulté au bord d'une route doit continuer de rendre un service utile quand le réseau se dégrade, pas afficher une roue qui tourne.</w:t>
      </w:r>
    </w:p>
    <w:p>
      <w:pPr>
        <w:spacing w:before="320" w:after="100"/>
        <w:keepNext w:val="1"/>
      </w:pPr>
      <w:r>
        <w:rPr>
          <w:rFonts w:ascii="IBM Plex Mono" w:hAnsi="IBM Plex Mono" w:cs="IBM Plex Mono" w:eastAsia="IBM Plex Mono"/>
          <w:b/>
          <w:i w:val="0"/>
          <w:color w:val="C62A26"/>
          <w:sz w:val="26"/>
        </w:rPr>
        <w:t xml:space="preserve">1.3   </w:t>
      </w:r>
      <w:r>
        <w:rPr>
          <w:rFonts w:ascii="Bebas Neue" w:hAnsi="Bebas Neue" w:cs="Bebas Neue" w:eastAsia="Bebas Neue"/>
          <w:b w:val="0"/>
          <w:i w:val="0"/>
          <w:color w:val="1C1A17"/>
          <w:sz w:val="36"/>
          <w:spacing w:val="10"/>
        </w:rPr>
        <w:t>Objectifs</w:t>
      </w:r>
    </w:p>
    <w:p>
      <w:pPr>
        <w:spacing w:before="0" w:after="80" w:line="312" w:lineRule="auto"/>
        <w:ind w:firstLine="397"/>
        <w:jc w:val="both"/>
      </w:pPr>
      <w:r>
        <w:rPr>
          <w:rFonts w:ascii="IBM Plex Serif" w:hAnsi="IBM Plex Serif" w:cs="IBM Plex Serif" w:eastAsia="IBM Plex Serif"/>
          <w:b w:val="0"/>
          <w:i w:val="0"/>
          <w:color w:val="1C1A17"/>
          <w:sz w:val="21"/>
        </w:rPr>
        <w:t>L'objectif général est de livrer une application mobile utilisable en situation réelle de panne, sur un téléphone Android de milieu de gamme, avec un réseau imparfait. Le lancement porte sur deux villes : Yaoundé, qui est le parc principal, et Ebolowa. Les retenir toutes les deux dès le départ n'est pas une ambition d'affichage, c'est une précaution de conception — une application éprouvée dans une seule ville finit toujours par contenir des hypothèses tacites sur cette ville, et la seconde les révèle avant qu'elles ne durcissent.</w:t>
      </w:r>
    </w:p>
    <w:p>
      <w:pPr>
        <w:spacing w:before="0" w:after="80" w:line="312" w:lineRule="auto"/>
        <w:ind w:firstLine="397"/>
        <w:jc w:val="both"/>
      </w:pPr>
      <w:r>
        <w:rPr>
          <w:rFonts w:ascii="IBM Plex Serif" w:hAnsi="IBM Plex Serif" w:cs="IBM Plex Serif" w:eastAsia="IBM Plex Serif"/>
          <w:b w:val="0"/>
          <w:i w:val="0"/>
          <w:color w:val="1C1A17"/>
          <w:sz w:val="21"/>
        </w:rPr>
        <w:t>Les objectifs particuliers découlent de la problématique. Il s'agit d'abord de capter automatiquement la position du conducteur au lancement, de manière à ce que la déclaration de panne n'ait jamais à contenir une adresse tapée à la main. Il s'agit ensuite de présenter les garages environnants sur une carte, numérotés selon un classement calculé par le serveur et modifiable par l'utilisateur — le plus proche, le mieux noté, le certifié — de façon à ce que le numéro affiché ait un sens et reste cohérent quel que soit l'écran où on le regarde. Il s'agit également d'établir un suivi bidirectionnel après l'appel, avec un temps d'arrivée estimé pour chacune des deux parties, recalculé à partir des déplacements réels et non d'une distance à vol d'oiseau figée.</w:t>
      </w:r>
    </w:p>
    <w:p>
      <w:pPr>
        <w:spacing w:before="0" w:after="80" w:line="312" w:lineRule="auto"/>
        <w:ind w:firstLine="397"/>
        <w:jc w:val="both"/>
      </w:pPr>
      <w:r>
        <w:rPr>
          <w:rFonts w:ascii="IBM Plex Serif" w:hAnsi="IBM Plex Serif" w:cs="IBM Plex Serif" w:eastAsia="IBM Plex Serif"/>
          <w:b w:val="0"/>
          <w:i w:val="0"/>
          <w:color w:val="1C1A17"/>
          <w:sz w:val="21"/>
        </w:rPr>
        <w:t>Il s'agit enfin de construire une chaîne de confiance qui tienne : une intervention n'est réputée terminée que lorsque le client et le garagiste ont chacun confirmé leur arrivée, et c'est cette double confirmation qui ouvre le crédit de points de fidélité. Comme ces points ont vocation à devenir des remises puis, à terme, un équivalent en Mobile Money, ils constituent une valeur monétaire, et le système doit être conçu dès le premier jour pour résister à quelqu'un qui chercherait à en fabriquer.</w:t>
      </w:r>
    </w:p>
    <w:p>
      <w:pPr>
        <w:spacing w:before="0" w:after="80" w:line="312" w:lineRule="auto"/>
        <w:ind w:firstLine="397"/>
        <w:jc w:val="both"/>
      </w:pPr>
      <w:r>
        <w:rPr>
          <w:rFonts w:ascii="IBM Plex Serif" w:hAnsi="IBM Plex Serif" w:cs="IBM Plex Serif" w:eastAsia="IBM Plex Serif"/>
          <w:b w:val="0"/>
          <w:i w:val="0"/>
          <w:color w:val="1C1A17"/>
          <w:sz w:val="21"/>
        </w:rPr>
        <w:t>En dehors de l'assistance proprement dite, l'application embarque un mode conduite qui affiche la vitesse, la distance et des alertes pendant un trajet. Cette partie est explicitement une simulation dans la première version : aucun capteur réel n'est branché. L'objectif la concernant n'est donc pas la véracité des alertes, mais la qualité de l'architecture qui les produit, de manière à pouvoir substituer une source réelle sans réécrire l'interface.</w:t>
      </w:r>
    </w:p>
    <w:p>
      <w:pPr>
        <w:spacing w:before="320" w:after="100"/>
        <w:keepNext w:val="1"/>
      </w:pPr>
      <w:r>
        <w:rPr>
          <w:rFonts w:ascii="IBM Plex Mono" w:hAnsi="IBM Plex Mono" w:cs="IBM Plex Mono" w:eastAsia="IBM Plex Mono"/>
          <w:b/>
          <w:i w:val="0"/>
          <w:color w:val="C62A26"/>
          <w:sz w:val="26"/>
        </w:rPr>
        <w:t xml:space="preserve">1.4   </w:t>
      </w:r>
      <w:r>
        <w:rPr>
          <w:rFonts w:ascii="Bebas Neue" w:hAnsi="Bebas Neue" w:cs="Bebas Neue" w:eastAsia="Bebas Neue"/>
          <w:b w:val="0"/>
          <w:i w:val="0"/>
          <w:color w:val="1C1A17"/>
          <w:sz w:val="36"/>
          <w:spacing w:val="10"/>
        </w:rPr>
        <w:t>Méthodologie et lecture du document</w:t>
      </w:r>
    </w:p>
    <w:p>
      <w:pPr>
        <w:spacing w:before="0" w:after="80" w:line="312" w:lineRule="auto"/>
        <w:ind w:firstLine="397"/>
        <w:jc w:val="both"/>
      </w:pPr>
      <w:r>
        <w:rPr>
          <w:rFonts w:ascii="IBM Plex Serif" w:hAnsi="IBM Plex Serif" w:cs="IBM Plex Serif" w:eastAsia="IBM Plex Serif"/>
          <w:b w:val="0"/>
          <w:i w:val="0"/>
          <w:color w:val="1C1A17"/>
          <w:sz w:val="21"/>
        </w:rPr>
        <w:t>Le projet a été conduit en partant des écrans plutôt que des tables. Onze maquettes ont été dessinées avant la première ligne de code, et elles ont servi de référence tout au long du développement : lorsque le code et l'idée que l'on s'en faisait divergeaient, ce sont les maquettes qui faisaient foi. Cette contrainte a eu un effet direct sur la modélisation, et le document le signale à plusieurs reprises — la numérotation des marqueurs, par exemple, est une exigence d'interface qui a imposé un choix de requête SQL.</w:t>
      </w:r>
    </w:p>
    <w:p>
      <w:pPr>
        <w:spacing w:before="0" w:after="80" w:line="312" w:lineRule="auto"/>
        <w:ind w:firstLine="397"/>
        <w:jc w:val="both"/>
      </w:pPr>
      <w:r>
        <w:rPr>
          <w:rFonts w:ascii="IBM Plex Serif" w:hAnsi="IBM Plex Serif" w:cs="IBM Plex Serif" w:eastAsia="IBM Plex Serif"/>
          <w:b w:val="0"/>
          <w:i w:val="0"/>
          <w:color w:val="1C1A17"/>
          <w:sz w:val="21"/>
        </w:rPr>
        <w:t>Le développement lui-même a suivi un ordre dicté par le risque : ce qui pouvait faire échouer le projet a été traité en premier, et ce qui pouvait attendre a attendu. Les trois risques identifiés au démarrage sont exposés au chapitre 3 et leur traitement est repris au chapitre 6.</w:t>
      </w:r>
    </w:p>
    <w:p>
      <w:pPr>
        <w:spacing w:before="0" w:after="80" w:line="312" w:lineRule="auto"/>
        <w:ind w:firstLine="397"/>
        <w:jc w:val="both"/>
      </w:pPr>
      <w:r>
        <w:rPr>
          <w:rFonts w:ascii="IBM Plex Serif" w:hAnsi="IBM Plex Serif" w:cs="IBM Plex Serif" w:eastAsia="IBM Plex Serif"/>
          <w:b w:val="0"/>
          <w:i w:val="0"/>
          <w:color w:val="1C1A17"/>
          <w:sz w:val="21"/>
        </w:rPr>
        <w:t>La suite du document se lit ainsi. Le chapitre 2 analyse les besoins et critique l'existant. Le chapitre 3 expose la solution retenue et son périmètre. Le chapitre 4 en donne les spécifications générales, acteurs et cas d'utilisation. Le chapitre 5 descend au niveau des spécifications détaillées : diagrammes de classes, d'états-transitions, de séquence et d'activité, schéma de base de données, contrats d'interface. Le chapitre 6 justifie les choix techniques un par un. Le chapitre 7 rend compte des résultats obtenus, interfaces à l'appui. Le chapitre 8 conclut et ouvre sur la suite.</w:t>
      </w:r>
    </w:p>
    <w:p>
      <w:pPr>
        <w:pageBreakBefore w:val="1"/>
        <w:spacing w:before="0" w:after="40"/>
      </w:pPr>
      <w:r>
        <w:rPr>
          <w:rFonts w:ascii="Bebas Neue" w:hAnsi="Bebas Neue" w:cs="Bebas Neue" w:eastAsia="Bebas Neue"/>
          <w:b w:val="0"/>
          <w:i w:val="0"/>
          <w:color w:val="C62A26"/>
          <w:sz w:val="22"/>
          <w:spacing w:val="38"/>
        </w:rPr>
        <w:t>CHAPITRE 2</w:t>
      </w:r>
    </w:p>
    <w:p>
      <w:pPr>
        <w:spacing w:after="320"/>
        <w:pBdr>
          <w:bottom w:val="single" w:sz="10" w:space="8" w:color="C62A26"/>
        </w:pBdr>
        <w:keepNext w:val="1"/>
      </w:pPr>
      <w:r>
        <w:rPr>
          <w:rFonts w:ascii="Bebas Neue" w:hAnsi="Bebas Neue" w:cs="Bebas Neue" w:eastAsia="Bebas Neue"/>
          <w:b w:val="0"/>
          <w:i w:val="0"/>
          <w:color w:val="1C1A17"/>
          <w:sz w:val="54"/>
          <w:spacing w:val="10"/>
        </w:rPr>
        <w:t>Analyse des besoins et étude de l'existant</w:t>
      </w:r>
    </w:p>
    <w:p>
      <w:pPr>
        <w:spacing w:before="320" w:after="100"/>
        <w:keepNext w:val="1"/>
      </w:pPr>
      <w:r>
        <w:rPr>
          <w:rFonts w:ascii="IBM Plex Mono" w:hAnsi="IBM Plex Mono" w:cs="IBM Plex Mono" w:eastAsia="IBM Plex Mono"/>
          <w:b/>
          <w:i w:val="0"/>
          <w:color w:val="C62A26"/>
          <w:sz w:val="26"/>
        </w:rPr>
        <w:t xml:space="preserve">2.1   </w:t>
      </w:r>
      <w:r>
        <w:rPr>
          <w:rFonts w:ascii="Bebas Neue" w:hAnsi="Bebas Neue" w:cs="Bebas Neue" w:eastAsia="Bebas Neue"/>
          <w:b w:val="0"/>
          <w:i w:val="0"/>
          <w:color w:val="1C1A17"/>
          <w:sz w:val="36"/>
          <w:spacing w:val="10"/>
        </w:rPr>
        <w:t>Le terrain</w:t>
      </w:r>
    </w:p>
    <w:p>
      <w:pPr>
        <w:spacing w:before="0" w:after="80" w:line="312" w:lineRule="auto"/>
        <w:ind w:firstLine="397"/>
        <w:jc w:val="both"/>
      </w:pPr>
      <w:r>
        <w:rPr>
          <w:rFonts w:ascii="IBM Plex Serif" w:hAnsi="IBM Plex Serif" w:cs="IBM Plex Serif" w:eastAsia="IBM Plex Serif"/>
          <w:b w:val="0"/>
          <w:i w:val="0"/>
          <w:color w:val="1C1A17"/>
          <w:sz w:val="21"/>
        </w:rPr>
        <w:t>Avant de comparer des solutions, il faut décrire honnêtement ce qui se passe aujourd'hui quand un véhicule s'arrête. Le scénario dominant, et de très loin, n'est pas technologique.</w:t>
      </w:r>
    </w:p>
    <w:p>
      <w:pPr>
        <w:spacing w:before="0" w:after="80" w:line="312" w:lineRule="auto"/>
        <w:ind w:firstLine="397"/>
        <w:jc w:val="both"/>
      </w:pPr>
      <w:r>
        <w:rPr>
          <w:rFonts w:ascii="IBM Plex Serif" w:hAnsi="IBM Plex Serif" w:cs="IBM Plex Serif" w:eastAsia="IBM Plex Serif"/>
          <w:b w:val="0"/>
          <w:i w:val="0"/>
          <w:color w:val="1C1A17"/>
          <w:sz w:val="21"/>
        </w:rPr>
        <w:t>Le conducteur immobilisé appelle quelqu'un qu'il connaît : un ami, un frère, un collègue qui « connaît un bon mécanicien ». Cette personne relaie l'appel vers un garagiste de son réseau. Le garagiste, s'il est disponible, demande où se trouve le véhicule. Suit une conversation d'orientation qui peut durer plusieurs minutes et qui repose entièrement sur des repères partagés — un carrefour, une enseigne, une station-service. Puis le conducteur attend, sans information, jusqu'à ce que quelqu'un arrive ou n'arrive pas. S'il rappelle, il obtient une estimation dont la fiabilité est celle de la politesse.</w:t>
      </w:r>
    </w:p>
    <w:p>
      <w:pPr>
        <w:spacing w:before="0" w:after="80" w:line="312" w:lineRule="auto"/>
        <w:ind w:firstLine="397"/>
        <w:jc w:val="both"/>
      </w:pPr>
      <w:r>
        <w:rPr>
          <w:rFonts w:ascii="IBM Plex Serif" w:hAnsi="IBM Plex Serif" w:cs="IBM Plex Serif" w:eastAsia="IBM Plex Serif"/>
          <w:b w:val="0"/>
          <w:i w:val="0"/>
          <w:color w:val="1C1A17"/>
          <w:sz w:val="21"/>
        </w:rPr>
        <w:t>Ce circuit a des qualités qu'il serait malhonnête de nier. Il repose sur la confiance interpersonnelle, qui est un mécanisme puissant : le mécanicien recommandé par un proche a une réputation à défendre auprès de ce proche. Il est gratuit, immédiat, et ne suppose ni application installée ni forfait de données. Il fonctionne aussi bien à trois heures du matin qu'à midi.</w:t>
      </w:r>
    </w:p>
    <w:p>
      <w:pPr>
        <w:spacing w:before="0" w:after="80" w:line="312" w:lineRule="auto"/>
        <w:ind w:firstLine="397"/>
        <w:jc w:val="both"/>
      </w:pPr>
      <w:r>
        <w:rPr>
          <w:rFonts w:ascii="IBM Plex Serif" w:hAnsi="IBM Plex Serif" w:cs="IBM Plex Serif" w:eastAsia="IBM Plex Serif"/>
          <w:b w:val="0"/>
          <w:i w:val="0"/>
          <w:color w:val="1C1A17"/>
          <w:sz w:val="21"/>
        </w:rPr>
        <w:t>Mais il a trois défauts structurels. Il ne fonctionne que si l'on a le bon contact, ce qui exclut les personnes de passage, les nouveaux arrivants, et tous ceux dont le réseau ne compte pas de garagiste. Il ne donne aucune visibilité : ni sur le délai, ni sur le prix, ni sur le fait que quelqu'un est effectivement en route. Et il ne laisse aucune trace : la même personne recommencera intégralement la prochaine fois, sans que rien de ce qui a été appris ne soit conservé.</w:t>
      </w:r>
    </w:p>
    <w:p>
      <w:pPr>
        <w:spacing w:before="320" w:after="100"/>
        <w:keepNext w:val="1"/>
      </w:pPr>
      <w:r>
        <w:rPr>
          <w:rFonts w:ascii="IBM Plex Mono" w:hAnsi="IBM Plex Mono" w:cs="IBM Plex Mono" w:eastAsia="IBM Plex Mono"/>
          <w:b/>
          <w:i w:val="0"/>
          <w:color w:val="C62A26"/>
          <w:sz w:val="26"/>
        </w:rPr>
        <w:t xml:space="preserve">2.2   </w:t>
      </w:r>
      <w:r>
        <w:rPr>
          <w:rFonts w:ascii="Bebas Neue" w:hAnsi="Bebas Neue" w:cs="Bebas Neue" w:eastAsia="Bebas Neue"/>
          <w:b w:val="0"/>
          <w:i w:val="0"/>
          <w:color w:val="1C1A17"/>
          <w:sz w:val="36"/>
          <w:spacing w:val="10"/>
        </w:rPr>
        <w:t>Étude de l'existant</w:t>
      </w:r>
    </w:p>
    <w:p>
      <w:pPr>
        <w:spacing w:before="240" w:after="100"/>
        <w:keepNext w:val="1"/>
      </w:pPr>
      <w:r>
        <w:rPr>
          <w:rFonts w:ascii="IBM Plex Mono" w:hAnsi="IBM Plex Mono" w:cs="IBM Plex Mono" w:eastAsia="IBM Plex Mono"/>
          <w:b/>
          <w:i w:val="0"/>
          <w:color w:val="C62A26"/>
          <w:sz w:val="19"/>
        </w:rPr>
        <w:t xml:space="preserve">2.2.1   </w:t>
      </w:r>
      <w:r>
        <w:rPr>
          <w:rFonts w:ascii="Bebas Neue" w:hAnsi="Bebas Neue" w:cs="Bebas Neue" w:eastAsia="Bebas Neue"/>
          <w:b w:val="0"/>
          <w:i w:val="0"/>
          <w:color w:val="1C1A17"/>
          <w:sz w:val="29"/>
          <w:spacing w:val="10"/>
        </w:rPr>
        <w:t>Les cartes généralistes</w:t>
      </w:r>
    </w:p>
    <w:p>
      <w:pPr>
        <w:spacing w:before="0" w:after="80" w:line="312" w:lineRule="auto"/>
        <w:ind w:firstLine="397"/>
        <w:jc w:val="both"/>
      </w:pPr>
      <w:r>
        <w:rPr>
          <w:rFonts w:ascii="IBM Plex Serif" w:hAnsi="IBM Plex Serif" w:cs="IBM Plex Serif" w:eastAsia="IBM Plex Serif"/>
          <w:b w:val="0"/>
          <w:i w:val="0"/>
          <w:color w:val="1C1A17"/>
          <w:sz w:val="21"/>
        </w:rPr>
        <w:t>Un conducteur qui cherche un garage sur une carte généraliste obtient une liste de points d'intérêt et, souvent, un numéro de téléphone. C'est déjà mieux que rien : la position est connue, l'itinéraire est calculé, et l'application est déjà installée sur la plupart des téléphones.</w:t>
      </w:r>
    </w:p>
    <w:p>
      <w:pPr>
        <w:spacing w:before="0" w:after="80" w:line="312" w:lineRule="auto"/>
        <w:ind w:firstLine="397"/>
        <w:jc w:val="both"/>
      </w:pPr>
      <w:r>
        <w:rPr>
          <w:rFonts w:ascii="IBM Plex Serif" w:hAnsi="IBM Plex Serif" w:cs="IBM Plex Serif" w:eastAsia="IBM Plex Serif"/>
          <w:b w:val="0"/>
          <w:i w:val="0"/>
          <w:color w:val="1C1A17"/>
          <w:sz w:val="21"/>
        </w:rPr>
        <w:t>La limite tient à la nature des données. Un point d'intérêt sur une carte généraliste porte un nom, une catégorie et parfois des horaires. Il ne porte ni la spécialité du garage, ni le fait qu'il dispose ou non d'un véhicule de remorquage, ni sa capacité à se déplacer, ni aucune certification. La couverture des ateliers de quartier y est par ailleurs très inégale, et les horaires affichés sont fréquemment obsolètes. Surtout, la relation s'arrête au numéro de téléphone : la carte ne sait pas qu'un dépannage est en cours, ne suit personne, et n'enregistre rien.</w:t>
      </w:r>
    </w:p>
    <w:p>
      <w:pPr>
        <w:spacing w:before="0" w:after="80" w:line="312" w:lineRule="auto"/>
        <w:ind w:firstLine="397"/>
        <w:jc w:val="both"/>
      </w:pPr>
      <w:r>
        <w:rPr>
          <w:rFonts w:ascii="IBM Plex Serif" w:hAnsi="IBM Plex Serif" w:cs="IBM Plex Serif" w:eastAsia="IBM Plex Serif"/>
          <w:b w:val="0"/>
          <w:i w:val="0"/>
          <w:color w:val="1C1A17"/>
          <w:sz w:val="21"/>
        </w:rPr>
        <w:t>Il faut y ajouter un point souvent négligé : la donnée d'un garage — sa certification, sa note, ses photos, ses horaires réels, sa disponibilité — est une donnée métier propriétaire. Elle n'a aucune raison d'exister dans une base cartographique généraliste, et elle ne s'y trouvera jamais. C'est précisément cette donnée que GeoCras doit produire et détenir.</w:t>
      </w:r>
    </w:p>
    <w:p>
      <w:pPr>
        <w:spacing w:before="240" w:after="100"/>
        <w:keepNext w:val="1"/>
      </w:pPr>
      <w:r>
        <w:rPr>
          <w:rFonts w:ascii="IBM Plex Mono" w:hAnsi="IBM Plex Mono" w:cs="IBM Plex Mono" w:eastAsia="IBM Plex Mono"/>
          <w:b/>
          <w:i w:val="0"/>
          <w:color w:val="C62A26"/>
          <w:sz w:val="19"/>
        </w:rPr>
        <w:t xml:space="preserve">2.2.2   </w:t>
      </w:r>
      <w:r>
        <w:rPr>
          <w:rFonts w:ascii="Bebas Neue" w:hAnsi="Bebas Neue" w:cs="Bebas Neue" w:eastAsia="Bebas Neue"/>
          <w:b w:val="0"/>
          <w:i w:val="0"/>
          <w:color w:val="1C1A17"/>
          <w:sz w:val="29"/>
          <w:spacing w:val="10"/>
        </w:rPr>
        <w:t>Les annuaires et les pages de réseaux sociaux</w:t>
      </w:r>
    </w:p>
    <w:p>
      <w:pPr>
        <w:spacing w:before="0" w:after="80" w:line="312" w:lineRule="auto"/>
        <w:ind w:firstLine="397"/>
        <w:jc w:val="both"/>
      </w:pPr>
      <w:r>
        <w:rPr>
          <w:rFonts w:ascii="IBM Plex Serif" w:hAnsi="IBM Plex Serif" w:cs="IBM Plex Serif" w:eastAsia="IBM Plex Serif"/>
          <w:b w:val="0"/>
          <w:i w:val="0"/>
          <w:color w:val="1C1A17"/>
          <w:sz w:val="21"/>
        </w:rPr>
        <w:t>Beaucoup de garages camerounais existent en ligne sous la forme d'une page de réseau social ou d'une fiche d'annuaire. On y trouve un numéro, parfois des photos, parfois un quartier.</w:t>
      </w:r>
    </w:p>
    <w:p>
      <w:pPr>
        <w:spacing w:before="0" w:after="80" w:line="312" w:lineRule="auto"/>
        <w:ind w:firstLine="397"/>
        <w:jc w:val="both"/>
      </w:pPr>
      <w:r>
        <w:rPr>
          <w:rFonts w:ascii="IBM Plex Serif" w:hAnsi="IBM Plex Serif" w:cs="IBM Plex Serif" w:eastAsia="IBM Plex Serif"/>
          <w:b w:val="0"/>
          <w:i w:val="0"/>
          <w:color w:val="1C1A17"/>
          <w:sz w:val="21"/>
        </w:rPr>
        <w:t>Ces supports règlent partiellement le problème de la découverte mais aucun des autres. Ils ne sont pas géolocalisés au sens strict — un quartier n'est pas une position —, ils ne permettent aucun classement par distance réelle, et leur fraîcheur n'est garantie par personne. Un numéro qui ne répond plus reste affiché indéfiniment. Pour quelqu'un en panne, une liste de numéros dont on ignore lesquels sont encore valides n'est pas une réponse.</w:t>
      </w:r>
    </w:p>
    <w:p>
      <w:pPr>
        <w:spacing w:before="240" w:after="100"/>
        <w:keepNext w:val="1"/>
      </w:pPr>
      <w:r>
        <w:rPr>
          <w:rFonts w:ascii="IBM Plex Mono" w:hAnsi="IBM Plex Mono" w:cs="IBM Plex Mono" w:eastAsia="IBM Plex Mono"/>
          <w:b/>
          <w:i w:val="0"/>
          <w:color w:val="C62A26"/>
          <w:sz w:val="19"/>
        </w:rPr>
        <w:t xml:space="preserve">2.2.3   </w:t>
      </w:r>
      <w:r>
        <w:rPr>
          <w:rFonts w:ascii="Bebas Neue" w:hAnsi="Bebas Neue" w:cs="Bebas Neue" w:eastAsia="Bebas Neue"/>
          <w:b w:val="0"/>
          <w:i w:val="0"/>
          <w:color w:val="1C1A17"/>
          <w:sz w:val="29"/>
          <w:spacing w:val="10"/>
        </w:rPr>
        <w:t>L'assistance contractuelle des assureurs</w:t>
      </w:r>
    </w:p>
    <w:p>
      <w:pPr>
        <w:spacing w:before="0" w:after="80" w:line="312" w:lineRule="auto"/>
        <w:ind w:firstLine="397"/>
        <w:jc w:val="both"/>
      </w:pPr>
      <w:r>
        <w:rPr>
          <w:rFonts w:ascii="IBM Plex Serif" w:hAnsi="IBM Plex Serif" w:cs="IBM Plex Serif" w:eastAsia="IBM Plex Serif"/>
          <w:b w:val="0"/>
          <w:i w:val="0"/>
          <w:color w:val="1C1A17"/>
          <w:sz w:val="21"/>
        </w:rPr>
        <w:t>Certaines polices d'assurance incluent une garantie d'assistance, avec un numéro à appeler et un prestataire qui se déplace. C'est la solution la plus proche d'un service structuré, et elle apporte une vraie garantie : quelqu'un est contractuellement tenu de venir.</w:t>
      </w:r>
    </w:p>
    <w:p>
      <w:pPr>
        <w:spacing w:before="0" w:after="80" w:line="312" w:lineRule="auto"/>
        <w:ind w:firstLine="397"/>
        <w:jc w:val="both"/>
      </w:pPr>
      <w:r>
        <w:rPr>
          <w:rFonts w:ascii="IBM Plex Serif" w:hAnsi="IBM Plex Serif" w:cs="IBM Plex Serif" w:eastAsia="IBM Plex Serif"/>
          <w:b w:val="0"/>
          <w:i w:val="0"/>
          <w:color w:val="1C1A17"/>
          <w:sz w:val="21"/>
        </w:rPr>
        <w:t>Trois limites en réduisent la portée. La première est l'accès : cette garantie suppose une police qui l'inclut, ce qui restreint le service à une fraction du parc. La deuxième est le fonctionnement, qui reste téléphonique et centralisé, avec les mêmes difficultés de localisation que le circuit informel — l'opérateur qui prend l'appel n'est pas sur place et doit reconstituer la position par la parole. La troisième est l'absence de choix : l'assuré ne choisit pas son garage, il reçoit celui que le prestataire mandate, sans visibilité sur sa note ni sur ses spécialités.</w:t>
      </w:r>
    </w:p>
    <w:p>
      <w:pPr>
        <w:spacing w:before="240" w:after="100"/>
        <w:keepNext w:val="1"/>
      </w:pPr>
      <w:r>
        <w:rPr>
          <w:rFonts w:ascii="IBM Plex Mono" w:hAnsi="IBM Plex Mono" w:cs="IBM Plex Mono" w:eastAsia="IBM Plex Mono"/>
          <w:b/>
          <w:i w:val="0"/>
          <w:color w:val="C62A26"/>
          <w:sz w:val="19"/>
        </w:rPr>
        <w:t xml:space="preserve">2.2.4   </w:t>
      </w:r>
      <w:r>
        <w:rPr>
          <w:rFonts w:ascii="Bebas Neue" w:hAnsi="Bebas Neue" w:cs="Bebas Neue" w:eastAsia="Bebas Neue"/>
          <w:b w:val="0"/>
          <w:i w:val="0"/>
          <w:color w:val="1C1A17"/>
          <w:sz w:val="29"/>
          <w:spacing w:val="10"/>
        </w:rPr>
        <w:t>Les applications de mise en relation à la demande</w:t>
      </w:r>
    </w:p>
    <w:p>
      <w:pPr>
        <w:spacing w:before="0" w:after="80" w:line="312" w:lineRule="auto"/>
        <w:ind w:firstLine="397"/>
        <w:jc w:val="both"/>
      </w:pPr>
      <w:r>
        <w:rPr>
          <w:rFonts w:ascii="IBM Plex Serif" w:hAnsi="IBM Plex Serif" w:cs="IBM Plex Serif" w:eastAsia="IBM Plex Serif"/>
          <w:b w:val="0"/>
          <w:i w:val="0"/>
          <w:color w:val="1C1A17"/>
          <w:sz w:val="21"/>
        </w:rPr>
        <w:t>Le modèle des applications de transport à la demande est le plus proche parent conceptuel de GeoCras : géolocalisation, mise en relation, suivi en temps réel, notation. Là où ces applications existent, elles démontrent que le schéma fonctionne et que les utilisateurs l'adoptent.</w:t>
      </w:r>
    </w:p>
    <w:p>
      <w:pPr>
        <w:spacing w:before="0" w:after="80" w:line="312" w:lineRule="auto"/>
        <w:ind w:firstLine="397"/>
        <w:jc w:val="both"/>
      </w:pPr>
      <w:r>
        <w:rPr>
          <w:rFonts w:ascii="IBM Plex Serif" w:hAnsi="IBM Plex Serif" w:cs="IBM Plex Serif" w:eastAsia="IBM Plex Serif"/>
          <w:b w:val="0"/>
          <w:i w:val="0"/>
          <w:color w:val="1C1A17"/>
          <w:sz w:val="21"/>
        </w:rPr>
        <w:t>La transposition directe au dépannage se heurte cependant à des différences réelles. Une course de transport est un service homogène : n'importe quel véhicule conforme peut l'exécuter. Un dépannage ne l'est pas : une panne de boîte de vitesses sur un camion et une batterie à plat sur une moto n'appellent ni les mêmes compétences, ni le même outillage, ni le même véhicule d'intervention. Le classement des prestataires ne peut donc pas se réduire à la distance. Par ailleurs, la course de transport se termine par un dépôt à une adresse, événement objectif et vérifiable ; l'intervention de dépannage se termine par une rencontre, ce qui pose un problème de preuve entièrement différent et bien plus difficile — problème que le chapitre 5 traite en détail.</w:t>
      </w:r>
    </w:p>
    <w:p>
      <w:pPr>
        <w:spacing w:before="320" w:after="100"/>
        <w:keepNext w:val="1"/>
      </w:pPr>
      <w:r>
        <w:rPr>
          <w:rFonts w:ascii="IBM Plex Mono" w:hAnsi="IBM Plex Mono" w:cs="IBM Plex Mono" w:eastAsia="IBM Plex Mono"/>
          <w:b/>
          <w:i w:val="0"/>
          <w:color w:val="C62A26"/>
          <w:sz w:val="26"/>
        </w:rPr>
        <w:t xml:space="preserve">2.3   </w:t>
      </w:r>
      <w:r>
        <w:rPr>
          <w:rFonts w:ascii="Bebas Neue" w:hAnsi="Bebas Neue" w:cs="Bebas Neue" w:eastAsia="Bebas Neue"/>
          <w:b w:val="0"/>
          <w:i w:val="0"/>
          <w:color w:val="1C1A17"/>
          <w:sz w:val="36"/>
          <w:spacing w:val="10"/>
        </w:rPr>
        <w:t>Critique de l'existant</w:t>
      </w:r>
    </w:p>
    <w:p>
      <w:pPr>
        <w:spacing w:before="0" w:after="80" w:line="312" w:lineRule="auto"/>
        <w:ind w:firstLine="397"/>
        <w:jc w:val="both"/>
      </w:pPr>
      <w:r>
        <w:rPr>
          <w:rFonts w:ascii="IBM Plex Serif" w:hAnsi="IBM Plex Serif" w:cs="IBM Plex Serif" w:eastAsia="IBM Plex Serif"/>
          <w:b w:val="0"/>
          <w:i w:val="0"/>
          <w:color w:val="1C1A17"/>
          <w:sz w:val="21"/>
        </w:rPr>
        <w:t>Le tableau suivant résume la comparaison sur les critères qui comptent pour un conducteur immobilisé.</w:t>
      </w:r>
    </w:p>
    <w:p>
      <w:pPr>
        <w:spacing w:before="200" w:after="80"/>
        <w:keepNext w:val="1"/>
      </w:pPr>
      <w:r>
        <w:rPr>
          <w:rFonts w:ascii="IBM Plex Sans" w:hAnsi="IBM Plex Sans" w:cs="IBM Plex Sans" w:eastAsia="IBM Plex Sans"/>
          <w:b/>
          <w:i w:val="0"/>
          <w:color w:val="C62A26"/>
          <w:sz w:val="18"/>
        </w:rPr>
        <w:t xml:space="preserve">Tableau 1 — </w:t>
      </w:r>
      <w:r>
        <w:rPr>
          <w:rFonts w:ascii="IBM Plex Sans" w:hAnsi="IBM Plex Sans" w:cs="IBM Plex Sans" w:eastAsia="IBM Plex Sans"/>
          <w:b w:val="0"/>
          <w:i w:val="0"/>
          <w:color w:val="55514A"/>
          <w:sz w:val="18"/>
        </w:rPr>
        <w:t>Comparaison des solutions existantes sur les besoins d'un conducteur immobilisé</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1550"/>
        <w:gridCol w:w="1550"/>
        <w:gridCol w:w="1550"/>
        <w:gridCol w:w="1550"/>
        <w:gridCol w:w="1550"/>
        <w:gridCol w:w="1550"/>
      </w:tblGrid>
      <w:tr>
        <w:tc>
          <w:tcPr>
            <w:tcW w:type="dxa" w:w="1550"/>
            <w:shd w:val="clear" w:color="auto" w:fill="F1EEE7"/>
          </w:tcPr>
          <w:p>
            <w:pPr>
              <w:spacing w:before="60" w:after="60" w:line="269" w:lineRule="auto"/>
            </w:pPr>
            <w:r>
              <w:rPr>
                <w:b/>
              </w:rPr>
            </w:r>
            <w:r>
              <w:rPr>
                <w:rFonts w:ascii="IBM Plex Sans" w:hAnsi="IBM Plex Sans" w:cs="IBM Plex Sans" w:eastAsia="IBM Plex Sans"/>
                <w:b/>
                <w:i w:val="0"/>
                <w:color w:val="1C1A17"/>
                <w:sz w:val="18"/>
              </w:rPr>
              <w:t>Critère</w:t>
            </w:r>
          </w:p>
        </w:tc>
        <w:tc>
          <w:tcPr>
            <w:tcW w:type="dxa" w:w="1550"/>
            <w:shd w:val="clear" w:color="auto" w:fill="F1EEE7"/>
          </w:tcPr>
          <w:p>
            <w:pPr>
              <w:spacing w:before="60" w:after="60" w:line="269" w:lineRule="auto"/>
            </w:pPr>
            <w:r>
              <w:rPr>
                <w:b/>
              </w:rPr>
            </w:r>
            <w:r>
              <w:rPr>
                <w:rFonts w:ascii="IBM Plex Sans" w:hAnsi="IBM Plex Sans" w:cs="IBM Plex Sans" w:eastAsia="IBM Plex Sans"/>
                <w:b/>
                <w:i w:val="0"/>
                <w:color w:val="1C1A17"/>
                <w:sz w:val="18"/>
              </w:rPr>
              <w:t>Réseau personnel</w:t>
            </w:r>
          </w:p>
        </w:tc>
        <w:tc>
          <w:tcPr>
            <w:tcW w:type="dxa" w:w="1550"/>
            <w:shd w:val="clear" w:color="auto" w:fill="F1EEE7"/>
          </w:tcPr>
          <w:p>
            <w:pPr>
              <w:spacing w:before="60" w:after="60" w:line="269" w:lineRule="auto"/>
            </w:pPr>
            <w:r>
              <w:rPr>
                <w:b/>
              </w:rPr>
            </w:r>
            <w:r>
              <w:rPr>
                <w:rFonts w:ascii="IBM Plex Sans" w:hAnsi="IBM Plex Sans" w:cs="IBM Plex Sans" w:eastAsia="IBM Plex Sans"/>
                <w:b/>
                <w:i w:val="0"/>
                <w:color w:val="1C1A17"/>
                <w:sz w:val="18"/>
              </w:rPr>
              <w:t>Carte généraliste</w:t>
            </w:r>
          </w:p>
        </w:tc>
        <w:tc>
          <w:tcPr>
            <w:tcW w:type="dxa" w:w="1550"/>
            <w:shd w:val="clear" w:color="auto" w:fill="F1EEE7"/>
          </w:tcPr>
          <w:p>
            <w:pPr>
              <w:spacing w:before="60" w:after="60" w:line="269" w:lineRule="auto"/>
            </w:pPr>
            <w:r>
              <w:rPr>
                <w:b/>
              </w:rPr>
            </w:r>
            <w:r>
              <w:rPr>
                <w:rFonts w:ascii="IBM Plex Sans" w:hAnsi="IBM Plex Sans" w:cs="IBM Plex Sans" w:eastAsia="IBM Plex Sans"/>
                <w:b/>
                <w:i w:val="0"/>
                <w:color w:val="1C1A17"/>
                <w:sz w:val="18"/>
              </w:rPr>
              <w:t>Annuaire en ligne</w:t>
            </w:r>
          </w:p>
        </w:tc>
        <w:tc>
          <w:tcPr>
            <w:tcW w:type="dxa" w:w="1550"/>
            <w:shd w:val="clear" w:color="auto" w:fill="F1EEE7"/>
          </w:tcPr>
          <w:p>
            <w:pPr>
              <w:spacing w:before="60" w:after="60" w:line="269" w:lineRule="auto"/>
            </w:pPr>
            <w:r>
              <w:rPr>
                <w:b/>
              </w:rPr>
            </w:r>
            <w:r>
              <w:rPr>
                <w:rFonts w:ascii="IBM Plex Sans" w:hAnsi="IBM Plex Sans" w:cs="IBM Plex Sans" w:eastAsia="IBM Plex Sans"/>
                <w:b/>
                <w:i w:val="0"/>
                <w:color w:val="1C1A17"/>
                <w:sz w:val="18"/>
              </w:rPr>
              <w:t>Assistance assureur</w:t>
            </w:r>
          </w:p>
        </w:tc>
        <w:tc>
          <w:tcPr>
            <w:tcW w:type="dxa" w:w="1550"/>
            <w:shd w:val="clear" w:color="auto" w:fill="F1EEE7"/>
          </w:tcPr>
          <w:p>
            <w:pPr>
              <w:spacing w:before="60" w:after="60" w:line="269" w:lineRule="auto"/>
            </w:pPr>
            <w:r>
              <w:rPr>
                <w:b/>
              </w:rPr>
            </w:r>
            <w:r>
              <w:rPr>
                <w:rFonts w:ascii="IBM Plex Sans" w:hAnsi="IBM Plex Sans" w:cs="IBM Plex Sans" w:eastAsia="IBM Plex Sans"/>
                <w:b/>
                <w:i w:val="0"/>
                <w:color w:val="1C1A17"/>
                <w:sz w:val="18"/>
              </w:rPr>
              <w:t>GeoCras</w:t>
            </w:r>
          </w:p>
        </w:tc>
      </w:tr>
      <w:tr>
        <w:tc>
          <w:tcPr>
            <w:tcW w:type="dxa" w:w="1550"/>
          </w:tcPr>
          <w:p>
            <w:pPr>
              <w:spacing w:before="60" w:after="60" w:line="269" w:lineRule="auto"/>
            </w:pPr>
            <w:r/>
            <w:r>
              <w:rPr>
                <w:rFonts w:ascii="IBM Plex Serif" w:hAnsi="IBM Plex Serif" w:cs="IBM Plex Serif" w:eastAsia="IBM Plex Serif"/>
                <w:b w:val="0"/>
                <w:i w:val="0"/>
                <w:color w:val="1C1A17"/>
                <w:sz w:val="18"/>
              </w:rPr>
              <w:t>Accessible sans contact préalable</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Oui</w:t>
            </w:r>
          </w:p>
        </w:tc>
        <w:tc>
          <w:tcPr>
            <w:tcW w:type="dxa" w:w="1550"/>
          </w:tcPr>
          <w:p>
            <w:pPr>
              <w:spacing w:before="60" w:after="60" w:line="269" w:lineRule="auto"/>
            </w:pPr>
            <w:r/>
            <w:r>
              <w:rPr>
                <w:rFonts w:ascii="IBM Plex Serif" w:hAnsi="IBM Plex Serif" w:cs="IBM Plex Serif" w:eastAsia="IBM Plex Serif"/>
                <w:b w:val="0"/>
                <w:i w:val="0"/>
                <w:color w:val="1C1A17"/>
                <w:sz w:val="18"/>
              </w:rPr>
              <w:t>Oui</w:t>
            </w:r>
          </w:p>
        </w:tc>
        <w:tc>
          <w:tcPr>
            <w:tcW w:type="dxa" w:w="1550"/>
          </w:tcPr>
          <w:p>
            <w:pPr>
              <w:spacing w:before="60" w:after="60" w:line="269" w:lineRule="auto"/>
            </w:pPr>
            <w:r/>
            <w:r>
              <w:rPr>
                <w:rFonts w:ascii="IBM Plex Serif" w:hAnsi="IBM Plex Serif" w:cs="IBM Plex Serif" w:eastAsia="IBM Plex Serif"/>
                <w:b w:val="0"/>
                <w:i w:val="0"/>
                <w:color w:val="1C1A17"/>
                <w:sz w:val="18"/>
              </w:rPr>
              <w:t>Réservé aux assurés</w:t>
            </w:r>
          </w:p>
        </w:tc>
        <w:tc>
          <w:tcPr>
            <w:tcW w:type="dxa" w:w="1550"/>
          </w:tcPr>
          <w:p>
            <w:pPr>
              <w:spacing w:before="60" w:after="60" w:line="269" w:lineRule="auto"/>
            </w:pPr>
            <w:r/>
            <w:r>
              <w:rPr>
                <w:rFonts w:ascii="IBM Plex Serif" w:hAnsi="IBM Plex Serif" w:cs="IBM Plex Serif" w:eastAsia="IBM Plex Serif"/>
                <w:b w:val="0"/>
                <w:i w:val="0"/>
                <w:color w:val="1C1A17"/>
                <w:sz w:val="18"/>
              </w:rPr>
              <w:t>Oui</w:t>
            </w:r>
          </w:p>
        </w:tc>
      </w:tr>
      <w:tr>
        <w:tc>
          <w:tcPr>
            <w:tcW w:type="dxa" w:w="1550"/>
          </w:tcPr>
          <w:p>
            <w:pPr>
              <w:spacing w:before="60" w:after="60" w:line="269" w:lineRule="auto"/>
            </w:pPr>
            <w:r/>
            <w:r>
              <w:rPr>
                <w:rFonts w:ascii="IBM Plex Serif" w:hAnsi="IBM Plex Serif" w:cs="IBM Plex Serif" w:eastAsia="IBM Plex Serif"/>
                <w:b w:val="0"/>
                <w:i w:val="0"/>
                <w:color w:val="1C1A17"/>
                <w:sz w:val="18"/>
              </w:rPr>
              <w:t>Position transmise automatiquement</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Partiellement</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Oui</w:t>
            </w:r>
          </w:p>
        </w:tc>
      </w:tr>
      <w:tr>
        <w:tc>
          <w:tcPr>
            <w:tcW w:type="dxa" w:w="1550"/>
          </w:tcPr>
          <w:p>
            <w:pPr>
              <w:spacing w:before="60" w:after="60" w:line="269" w:lineRule="auto"/>
            </w:pPr>
            <w:r/>
            <w:r>
              <w:rPr>
                <w:rFonts w:ascii="IBM Plex Serif" w:hAnsi="IBM Plex Serif" w:cs="IBM Plex Serif" w:eastAsia="IBM Plex Serif"/>
                <w:b w:val="0"/>
                <w:i w:val="0"/>
                <w:color w:val="1C1A17"/>
                <w:sz w:val="18"/>
              </w:rPr>
              <w:t>Classement par pertinence réelle</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Par distance seule</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Sans choix</w:t>
            </w:r>
          </w:p>
        </w:tc>
        <w:tc>
          <w:tcPr>
            <w:tcW w:type="dxa" w:w="1550"/>
          </w:tcPr>
          <w:p>
            <w:pPr>
              <w:spacing w:before="60" w:after="60" w:line="269" w:lineRule="auto"/>
            </w:pPr>
            <w:r/>
            <w:r>
              <w:rPr>
                <w:rFonts w:ascii="IBM Plex Serif" w:hAnsi="IBM Plex Serif" w:cs="IBM Plex Serif" w:eastAsia="IBM Plex Serif"/>
                <w:b w:val="0"/>
                <w:i w:val="0"/>
                <w:color w:val="1C1A17"/>
                <w:sz w:val="18"/>
              </w:rPr>
              <w:t>Distance, note, certification</w:t>
            </w:r>
          </w:p>
        </w:tc>
      </w:tr>
      <w:tr>
        <w:tc>
          <w:tcPr>
            <w:tcW w:type="dxa" w:w="1550"/>
          </w:tcPr>
          <w:p>
            <w:pPr>
              <w:spacing w:before="60" w:after="60" w:line="269" w:lineRule="auto"/>
            </w:pPr>
            <w:r/>
            <w:r>
              <w:rPr>
                <w:rFonts w:ascii="IBM Plex Serif" w:hAnsi="IBM Plex Serif" w:cs="IBM Plex Serif" w:eastAsia="IBM Plex Serif"/>
                <w:b w:val="0"/>
                <w:i w:val="0"/>
                <w:color w:val="1C1A17"/>
                <w:sz w:val="18"/>
              </w:rPr>
              <w:t>Spécialité et outillage connus</w:t>
            </w:r>
          </w:p>
        </w:tc>
        <w:tc>
          <w:tcPr>
            <w:tcW w:type="dxa" w:w="1550"/>
          </w:tcPr>
          <w:p>
            <w:pPr>
              <w:spacing w:before="60" w:after="60" w:line="269" w:lineRule="auto"/>
            </w:pPr>
            <w:r/>
            <w:r>
              <w:rPr>
                <w:rFonts w:ascii="IBM Plex Serif" w:hAnsi="IBM Plex Serif" w:cs="IBM Plex Serif" w:eastAsia="IBM Plex Serif"/>
                <w:b w:val="0"/>
                <w:i w:val="0"/>
                <w:color w:val="1C1A17"/>
                <w:sz w:val="18"/>
              </w:rPr>
              <w:t>Par la confiance</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Rarement</w:t>
            </w:r>
          </w:p>
        </w:tc>
        <w:tc>
          <w:tcPr>
            <w:tcW w:type="dxa" w:w="1550"/>
          </w:tcPr>
          <w:p>
            <w:pPr>
              <w:spacing w:before="60" w:after="60" w:line="269" w:lineRule="auto"/>
            </w:pPr>
            <w:r/>
            <w:r>
              <w:rPr>
                <w:rFonts w:ascii="IBM Plex Serif" w:hAnsi="IBM Plex Serif" w:cs="IBM Plex Serif" w:eastAsia="IBM Plex Serif"/>
                <w:b w:val="0"/>
                <w:i w:val="0"/>
                <w:color w:val="1C1A17"/>
                <w:sz w:val="18"/>
              </w:rPr>
              <w:t>Par le prestataire</w:t>
            </w:r>
          </w:p>
        </w:tc>
        <w:tc>
          <w:tcPr>
            <w:tcW w:type="dxa" w:w="1550"/>
          </w:tcPr>
          <w:p>
            <w:pPr>
              <w:spacing w:before="60" w:after="60" w:line="269" w:lineRule="auto"/>
            </w:pPr>
            <w:r/>
            <w:r>
              <w:rPr>
                <w:rFonts w:ascii="IBM Plex Serif" w:hAnsi="IBM Plex Serif" w:cs="IBM Plex Serif" w:eastAsia="IBM Plex Serif"/>
                <w:b w:val="0"/>
                <w:i w:val="0"/>
                <w:color w:val="1C1A17"/>
                <w:sz w:val="18"/>
              </w:rPr>
              <w:t>Oui, par service déclaré</w:t>
            </w:r>
          </w:p>
        </w:tc>
      </w:tr>
      <w:tr>
        <w:tc>
          <w:tcPr>
            <w:tcW w:type="dxa" w:w="1550"/>
          </w:tcPr>
          <w:p>
            <w:pPr>
              <w:spacing w:before="60" w:after="60" w:line="269" w:lineRule="auto"/>
            </w:pPr>
            <w:r/>
            <w:r>
              <w:rPr>
                <w:rFonts w:ascii="IBM Plex Serif" w:hAnsi="IBM Plex Serif" w:cs="IBM Plex Serif" w:eastAsia="IBM Plex Serif"/>
                <w:b w:val="0"/>
                <w:i w:val="0"/>
                <w:color w:val="1C1A17"/>
                <w:sz w:val="18"/>
              </w:rPr>
              <w:t>Suivi du dépanneur en direct</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Oui, dans les deux sens</w:t>
            </w:r>
          </w:p>
        </w:tc>
      </w:tr>
      <w:tr>
        <w:tc>
          <w:tcPr>
            <w:tcW w:type="dxa" w:w="1550"/>
          </w:tcPr>
          <w:p>
            <w:pPr>
              <w:spacing w:before="60" w:after="60" w:line="269" w:lineRule="auto"/>
            </w:pPr>
            <w:r/>
            <w:r>
              <w:rPr>
                <w:rFonts w:ascii="IBM Plex Serif" w:hAnsi="IBM Plex Serif" w:cs="IBM Plex Serif" w:eastAsia="IBM Plex Serif"/>
                <w:b w:val="0"/>
                <w:i w:val="0"/>
                <w:color w:val="1C1A17"/>
                <w:sz w:val="18"/>
              </w:rPr>
              <w:t>Temps d'arrivée estimé</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Trajet théorique</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Annoncé oralement</w:t>
            </w:r>
          </w:p>
        </w:tc>
        <w:tc>
          <w:tcPr>
            <w:tcW w:type="dxa" w:w="1550"/>
          </w:tcPr>
          <w:p>
            <w:pPr>
              <w:spacing w:before="60" w:after="60" w:line="269" w:lineRule="auto"/>
            </w:pPr>
            <w:r/>
            <w:r>
              <w:rPr>
                <w:rFonts w:ascii="IBM Plex Serif" w:hAnsi="IBM Plex Serif" w:cs="IBM Plex Serif" w:eastAsia="IBM Plex Serif"/>
                <w:b w:val="0"/>
                <w:i w:val="0"/>
                <w:color w:val="1C1A17"/>
                <w:sz w:val="18"/>
              </w:rPr>
              <w:t>Calculé, recalculé, partagé</w:t>
            </w:r>
          </w:p>
        </w:tc>
      </w:tr>
      <w:tr>
        <w:tc>
          <w:tcPr>
            <w:tcW w:type="dxa" w:w="1550"/>
          </w:tcPr>
          <w:p>
            <w:pPr>
              <w:spacing w:before="60" w:after="60" w:line="269" w:lineRule="auto"/>
            </w:pPr>
            <w:r/>
            <w:r>
              <w:rPr>
                <w:rFonts w:ascii="IBM Plex Serif" w:hAnsi="IBM Plex Serif" w:cs="IBM Plex Serif" w:eastAsia="IBM Plex Serif"/>
                <w:b w:val="0"/>
                <w:i w:val="0"/>
                <w:color w:val="1C1A17"/>
                <w:sz w:val="18"/>
              </w:rPr>
              <w:t>Trace de l'intervention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Non</w:t>
            </w:r>
          </w:p>
        </w:tc>
        <w:tc>
          <w:tcPr>
            <w:tcW w:type="dxa" w:w="1550"/>
          </w:tcPr>
          <w:p>
            <w:pPr>
              <w:spacing w:before="60" w:after="60" w:line="269" w:lineRule="auto"/>
            </w:pPr>
            <w:r/>
            <w:r>
              <w:rPr>
                <w:rFonts w:ascii="IBM Plex Serif" w:hAnsi="IBM Plex Serif" w:cs="IBM Plex Serif" w:eastAsia="IBM Plex Serif"/>
                <w:b w:val="0"/>
                <w:i w:val="0"/>
                <w:color w:val="1C1A17"/>
                <w:sz w:val="18"/>
              </w:rPr>
              <w:t>Chez l'assureur</w:t>
            </w:r>
          </w:p>
        </w:tc>
        <w:tc>
          <w:tcPr>
            <w:tcW w:type="dxa" w:w="1550"/>
          </w:tcPr>
          <w:p>
            <w:pPr>
              <w:spacing w:before="60" w:after="60" w:line="269" w:lineRule="auto"/>
            </w:pPr>
            <w:r/>
            <w:r>
              <w:rPr>
                <w:rFonts w:ascii="IBM Plex Serif" w:hAnsi="IBM Plex Serif" w:cs="IBM Plex Serif" w:eastAsia="IBM Plex Serif"/>
                <w:b w:val="0"/>
                <w:i w:val="0"/>
                <w:color w:val="1C1A17"/>
                <w:sz w:val="18"/>
              </w:rPr>
              <w:t>Historique des deux parties</w:t>
            </w:r>
          </w:p>
        </w:tc>
      </w:tr>
      <w:tr>
        <w:tc>
          <w:tcPr>
            <w:tcW w:type="dxa" w:w="1550"/>
          </w:tcPr>
          <w:p>
            <w:pPr>
              <w:spacing w:before="60" w:after="60" w:line="269" w:lineRule="auto"/>
            </w:pPr>
            <w:r/>
            <w:r>
              <w:rPr>
                <w:rFonts w:ascii="IBM Plex Serif" w:hAnsi="IBM Plex Serif" w:cs="IBM Plex Serif" w:eastAsia="IBM Plex Serif"/>
                <w:b w:val="0"/>
                <w:i w:val="0"/>
                <w:color w:val="1C1A17"/>
                <w:sz w:val="18"/>
              </w:rPr>
              <w:t>Fonctionne en réseau dégradé</w:t>
            </w:r>
          </w:p>
        </w:tc>
        <w:tc>
          <w:tcPr>
            <w:tcW w:type="dxa" w:w="1550"/>
          </w:tcPr>
          <w:p>
            <w:pPr>
              <w:spacing w:before="60" w:after="60" w:line="269" w:lineRule="auto"/>
            </w:pPr>
            <w:r/>
            <w:r>
              <w:rPr>
                <w:rFonts w:ascii="IBM Plex Serif" w:hAnsi="IBM Plex Serif" w:cs="IBM Plex Serif" w:eastAsia="IBM Plex Serif"/>
                <w:b w:val="0"/>
                <w:i w:val="0"/>
                <w:color w:val="1C1A17"/>
                <w:sz w:val="18"/>
              </w:rPr>
              <w:t>Oui</w:t>
            </w:r>
          </w:p>
        </w:tc>
        <w:tc>
          <w:tcPr>
            <w:tcW w:type="dxa" w:w="1550"/>
          </w:tcPr>
          <w:p>
            <w:pPr>
              <w:spacing w:before="60" w:after="60" w:line="269" w:lineRule="auto"/>
            </w:pPr>
            <w:r/>
            <w:r>
              <w:rPr>
                <w:rFonts w:ascii="IBM Plex Serif" w:hAnsi="IBM Plex Serif" w:cs="IBM Plex Serif" w:eastAsia="IBM Plex Serif"/>
                <w:b w:val="0"/>
                <w:i w:val="0"/>
                <w:color w:val="1C1A17"/>
                <w:sz w:val="18"/>
              </w:rPr>
              <w:t>Partiellement</w:t>
            </w:r>
          </w:p>
        </w:tc>
        <w:tc>
          <w:tcPr>
            <w:tcW w:type="dxa" w:w="1550"/>
          </w:tcPr>
          <w:p>
            <w:pPr>
              <w:spacing w:before="60" w:after="60" w:line="269" w:lineRule="auto"/>
            </w:pPr>
            <w:r/>
            <w:r>
              <w:rPr>
                <w:rFonts w:ascii="IBM Plex Serif" w:hAnsi="IBM Plex Serif" w:cs="IBM Plex Serif" w:eastAsia="IBM Plex Serif"/>
                <w:b w:val="0"/>
                <w:i w:val="0"/>
                <w:color w:val="1C1A17"/>
                <w:sz w:val="18"/>
              </w:rPr>
              <w:t>Partiellement</w:t>
            </w:r>
          </w:p>
        </w:tc>
        <w:tc>
          <w:tcPr>
            <w:tcW w:type="dxa" w:w="1550"/>
          </w:tcPr>
          <w:p>
            <w:pPr>
              <w:spacing w:before="60" w:after="60" w:line="269" w:lineRule="auto"/>
            </w:pPr>
            <w:r/>
            <w:r>
              <w:rPr>
                <w:rFonts w:ascii="IBM Plex Serif" w:hAnsi="IBM Plex Serif" w:cs="IBM Plex Serif" w:eastAsia="IBM Plex Serif"/>
                <w:b w:val="0"/>
                <w:i w:val="0"/>
                <w:color w:val="1C1A17"/>
                <w:sz w:val="18"/>
              </w:rPr>
              <w:t>Oui</w:t>
            </w:r>
          </w:p>
        </w:tc>
        <w:tc>
          <w:tcPr>
            <w:tcW w:type="dxa" w:w="1550"/>
          </w:tcPr>
          <w:p>
            <w:pPr>
              <w:spacing w:before="60" w:after="60" w:line="269" w:lineRule="auto"/>
            </w:pPr>
            <w:r/>
            <w:r>
              <w:rPr>
                <w:rFonts w:ascii="IBM Plex Serif" w:hAnsi="IBM Plex Serif" w:cs="IBM Plex Serif" w:eastAsia="IBM Plex Serif"/>
                <w:b w:val="0"/>
                <w:i w:val="0"/>
                <w:color w:val="1C1A17"/>
                <w:sz w:val="18"/>
              </w:rPr>
              <w:t>Oui, mode dégradé prévu</w:t>
            </w:r>
          </w:p>
        </w:tc>
      </w:tr>
      <w:tr>
        <w:tc>
          <w:tcPr>
            <w:tcW w:type="dxa" w:w="1550"/>
          </w:tcPr>
          <w:p>
            <w:pPr>
              <w:spacing w:before="60" w:after="60" w:line="269" w:lineRule="auto"/>
            </w:pPr>
            <w:r/>
            <w:r>
              <w:rPr>
                <w:rFonts w:ascii="IBM Plex Serif" w:hAnsi="IBM Plex Serif" w:cs="IBM Plex Serif" w:eastAsia="IBM Plex Serif"/>
                <w:b w:val="0"/>
                <w:i w:val="0"/>
                <w:color w:val="1C1A17"/>
                <w:sz w:val="18"/>
              </w:rPr>
              <w:t>Coût pour l'utilisateur</w:t>
            </w:r>
          </w:p>
        </w:tc>
        <w:tc>
          <w:tcPr>
            <w:tcW w:type="dxa" w:w="1550"/>
          </w:tcPr>
          <w:p>
            <w:pPr>
              <w:spacing w:before="60" w:after="60" w:line="269" w:lineRule="auto"/>
            </w:pPr>
            <w:r/>
            <w:r>
              <w:rPr>
                <w:rFonts w:ascii="IBM Plex Serif" w:hAnsi="IBM Plex Serif" w:cs="IBM Plex Serif" w:eastAsia="IBM Plex Serif"/>
                <w:b w:val="0"/>
                <w:i w:val="0"/>
                <w:color w:val="1C1A17"/>
                <w:sz w:val="18"/>
              </w:rPr>
              <w:t>Nul</w:t>
            </w:r>
          </w:p>
        </w:tc>
        <w:tc>
          <w:tcPr>
            <w:tcW w:type="dxa" w:w="1550"/>
          </w:tcPr>
          <w:p>
            <w:pPr>
              <w:spacing w:before="60" w:after="60" w:line="269" w:lineRule="auto"/>
            </w:pPr>
            <w:r/>
            <w:r>
              <w:rPr>
                <w:rFonts w:ascii="IBM Plex Serif" w:hAnsi="IBM Plex Serif" w:cs="IBM Plex Serif" w:eastAsia="IBM Plex Serif"/>
                <w:b w:val="0"/>
                <w:i w:val="0"/>
                <w:color w:val="1C1A17"/>
                <w:sz w:val="18"/>
              </w:rPr>
              <w:t>Nul</w:t>
            </w:r>
          </w:p>
        </w:tc>
        <w:tc>
          <w:tcPr>
            <w:tcW w:type="dxa" w:w="1550"/>
          </w:tcPr>
          <w:p>
            <w:pPr>
              <w:spacing w:before="60" w:after="60" w:line="269" w:lineRule="auto"/>
            </w:pPr>
            <w:r/>
            <w:r>
              <w:rPr>
                <w:rFonts w:ascii="IBM Plex Serif" w:hAnsi="IBM Plex Serif" w:cs="IBM Plex Serif" w:eastAsia="IBM Plex Serif"/>
                <w:b w:val="0"/>
                <w:i w:val="0"/>
                <w:color w:val="1C1A17"/>
                <w:sz w:val="18"/>
              </w:rPr>
              <w:t>Nul</w:t>
            </w:r>
          </w:p>
        </w:tc>
        <w:tc>
          <w:tcPr>
            <w:tcW w:type="dxa" w:w="1550"/>
          </w:tcPr>
          <w:p>
            <w:pPr>
              <w:spacing w:before="60" w:after="60" w:line="269" w:lineRule="auto"/>
            </w:pPr>
            <w:r/>
            <w:r>
              <w:rPr>
                <w:rFonts w:ascii="IBM Plex Serif" w:hAnsi="IBM Plex Serif" w:cs="IBM Plex Serif" w:eastAsia="IBM Plex Serif"/>
                <w:b w:val="0"/>
                <w:i w:val="0"/>
                <w:color w:val="1C1A17"/>
                <w:sz w:val="18"/>
              </w:rPr>
              <w:t>Inclus dans la prime</w:t>
            </w:r>
          </w:p>
        </w:tc>
        <w:tc>
          <w:tcPr>
            <w:tcW w:type="dxa" w:w="1550"/>
          </w:tcPr>
          <w:p>
            <w:pPr>
              <w:spacing w:before="60" w:after="60" w:line="269" w:lineRule="auto"/>
            </w:pPr>
            <w:r/>
            <w:r>
              <w:rPr>
                <w:rFonts w:ascii="IBM Plex Serif" w:hAnsi="IBM Plex Serif" w:cs="IBM Plex Serif" w:eastAsia="IBM Plex Serif"/>
                <w:b w:val="0"/>
                <w:i w:val="0"/>
                <w:color w:val="1C1A17"/>
                <w:sz w:val="18"/>
              </w:rPr>
              <w:t>Nul, points gagnés</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La lecture de ce tableau fait apparaître un constat qui a orienté tout le projet : aucune solution existante ne couvre simultanément la découverte, le classement pertinent, le suivi et la trace. Chacune en couvre une ou deux. Le réseau personnel est imbattable sur la confiance et l'accessibilité hors ligne, mais il ne donne ni visibilité ni mémoire. Les cartes généralistes donnent la position mais s'arrêtent au numéro de téléphone. L'assistance contractuelle donne une garantie mais retire le choix et reste aveugle sur la localisation.</w:t>
      </w:r>
    </w:p>
    <w:p>
      <w:pPr>
        <w:spacing w:before="0" w:after="80" w:line="312" w:lineRule="auto"/>
        <w:ind w:firstLine="397"/>
        <w:jc w:val="both"/>
      </w:pPr>
      <w:r>
        <w:rPr>
          <w:rFonts w:ascii="IBM Plex Serif" w:hAnsi="IBM Plex Serif" w:cs="IBM Plex Serif" w:eastAsia="IBM Plex Serif"/>
          <w:b w:val="0"/>
          <w:i w:val="0"/>
          <w:color w:val="1C1A17"/>
          <w:sz w:val="21"/>
        </w:rPr>
        <w:t>Il faut en tirer une conséquence de conception, et non seulement un argument commercial : GeoCras ne remplace pas le téléphone, il l'outille. Le bouton d'appel reste présent sur chaque fiche de garage, et l'appel téléphonique demeure le moyen par lequel le client et le garagiste se parlent réellement. Ce que l'application apporte, c'est ce qui manque autour de cet appel — la position transmise sans être décrite, le classement qui a du sens, le suivi qui remplace le rappel, et la trace qui permet à la relation de se répéter.</w:t>
      </w:r>
    </w:p>
    <w:p>
      <w:pPr>
        <w:spacing w:before="320" w:after="100"/>
        <w:keepNext w:val="1"/>
      </w:pPr>
      <w:r>
        <w:rPr>
          <w:rFonts w:ascii="IBM Plex Mono" w:hAnsi="IBM Plex Mono" w:cs="IBM Plex Mono" w:eastAsia="IBM Plex Mono"/>
          <w:b/>
          <w:i w:val="0"/>
          <w:color w:val="C62A26"/>
          <w:sz w:val="26"/>
        </w:rPr>
        <w:t xml:space="preserve">2.4   </w:t>
      </w:r>
      <w:r>
        <w:rPr>
          <w:rFonts w:ascii="Bebas Neue" w:hAnsi="Bebas Neue" w:cs="Bebas Neue" w:eastAsia="Bebas Neue"/>
          <w:b w:val="0"/>
          <w:i w:val="0"/>
          <w:color w:val="1C1A17"/>
          <w:sz w:val="36"/>
          <w:spacing w:val="10"/>
        </w:rPr>
        <w:t>Besoins fonctionnels</w:t>
      </w:r>
    </w:p>
    <w:p>
      <w:pPr>
        <w:spacing w:before="0" w:after="80" w:line="312" w:lineRule="auto"/>
        <w:ind w:firstLine="397"/>
        <w:jc w:val="both"/>
      </w:pPr>
      <w:r>
        <w:rPr>
          <w:rFonts w:ascii="IBM Plex Serif" w:hAnsi="IBM Plex Serif" w:cs="IBM Plex Serif" w:eastAsia="IBM Plex Serif"/>
          <w:b w:val="0"/>
          <w:i w:val="0"/>
          <w:color w:val="1C1A17"/>
          <w:sz w:val="21"/>
        </w:rPr>
        <w:t>Les besoins fonctionnels se répartissent en six ensembles cohérents, qui correspondent aux paquets du diagramme de cas d'utilisation présenté au chapitre 4.</w:t>
      </w:r>
    </w:p>
    <w:p>
      <w:pPr>
        <w:spacing w:before="0" w:after="80" w:line="312" w:lineRule="auto"/>
        <w:ind w:firstLine="397"/>
        <w:jc w:val="both"/>
      </w:pPr>
      <w:r>
        <w:rPr>
          <w:rFonts w:ascii="IBM Plex Serif" w:hAnsi="IBM Plex Serif" w:cs="IBM Plex Serif" w:eastAsia="IBM Plex Serif"/>
          <w:b w:val="0"/>
          <w:i w:val="0"/>
          <w:color w:val="1C1A17"/>
          <w:sz w:val="21"/>
        </w:rPr>
        <w:t>La gestion du compte couvre l'inscription et la connexion — par numéro de téléphone, qui est l'identifiant naturel au Cameroun, plutôt que par adresse électronique —, la gestion des véhicules enregistrés destinés à préremplir les demandes futures, et la modification du profil.</w:t>
      </w:r>
    </w:p>
    <w:p>
      <w:pPr>
        <w:spacing w:before="0" w:after="80" w:line="312" w:lineRule="auto"/>
        <w:ind w:firstLine="397"/>
        <w:jc w:val="both"/>
      </w:pPr>
      <w:r>
        <w:rPr>
          <w:rFonts w:ascii="IBM Plex Serif" w:hAnsi="IBM Plex Serif" w:cs="IBM Plex Serif" w:eastAsia="IBM Plex Serif"/>
          <w:b w:val="0"/>
          <w:i w:val="0"/>
          <w:color w:val="1C1A17"/>
          <w:sz w:val="21"/>
        </w:rPr>
        <w:t>La recherche de garages couvre la capture automatique de la position au lancement, la recherche des garages autour de cette position dans un rayon paramétrable, le tri au choix par distance, par note ou par certification, le filtrage par service offert et par ouverture à l'instant présent, ainsi que la consultation d'une fiche complète avec ses avis.</w:t>
      </w:r>
    </w:p>
    <w:p>
      <w:pPr>
        <w:spacing w:before="0" w:after="80" w:line="312" w:lineRule="auto"/>
        <w:ind w:firstLine="397"/>
        <w:jc w:val="both"/>
      </w:pPr>
      <w:r>
        <w:rPr>
          <w:rFonts w:ascii="IBM Plex Serif" w:hAnsi="IBM Plex Serif" w:cs="IBM Plex Serif" w:eastAsia="IBM Plex Serif"/>
          <w:b w:val="0"/>
          <w:i w:val="0"/>
          <w:color w:val="1C1A17"/>
          <w:sz w:val="21"/>
        </w:rPr>
        <w:t>La demande d'assistance couvre la déclaration de panne — type de véhicule, nature du problème présentée dans un ordre trié selon le véhicule choisi, niveau d'urgence, description libre, photographie facultative —, le choix d'un garage parmi les résultats classés, l'acceptation ou le refus par le garagiste, la mise en route, et le suivi bidirectionnel avec double estimation du temps d'arrivée.</w:t>
      </w:r>
    </w:p>
    <w:p>
      <w:pPr>
        <w:spacing w:before="0" w:after="80" w:line="312" w:lineRule="auto"/>
        <w:ind w:firstLine="397"/>
        <w:jc w:val="both"/>
      </w:pPr>
      <w:r>
        <w:rPr>
          <w:rFonts w:ascii="IBM Plex Serif" w:hAnsi="IBM Plex Serif" w:cs="IBM Plex Serif" w:eastAsia="IBM Plex Serif"/>
          <w:b w:val="0"/>
          <w:i w:val="0"/>
          <w:color w:val="1C1A17"/>
          <w:sz w:val="21"/>
        </w:rPr>
        <w:t>La clôture couvre la reconnaissance mutuelle sur place, la double confirmation d'arrivée, la publication d'un avis rendue possible par la clôture, et le crédit des points de fidélité.</w:t>
      </w:r>
    </w:p>
    <w:p>
      <w:pPr>
        <w:spacing w:before="0" w:after="80" w:line="312" w:lineRule="auto"/>
        <w:ind w:firstLine="397"/>
        <w:jc w:val="both"/>
      </w:pPr>
      <w:r>
        <w:rPr>
          <w:rFonts w:ascii="IBM Plex Serif" w:hAnsi="IBM Plex Serif" w:cs="IBM Plex Serif" w:eastAsia="IBM Plex Serif"/>
          <w:b w:val="0"/>
          <w:i w:val="0"/>
          <w:color w:val="1C1A17"/>
          <w:sz w:val="21"/>
        </w:rPr>
        <w:t>La fidélité couvre la consultation du solde de points et du grade, l'historique des mouvements, et le parrainage.</w:t>
      </w:r>
    </w:p>
    <w:p>
      <w:pPr>
        <w:spacing w:before="0" w:after="80" w:line="312" w:lineRule="auto"/>
        <w:ind w:firstLine="397"/>
        <w:jc w:val="both"/>
      </w:pPr>
      <w:r>
        <w:rPr>
          <w:rFonts w:ascii="IBM Plex Serif" w:hAnsi="IBM Plex Serif" w:cs="IBM Plex Serif" w:eastAsia="IBM Plex Serif"/>
          <w:b w:val="0"/>
          <w:i w:val="0"/>
          <w:color w:val="1C1A17"/>
          <w:sz w:val="21"/>
        </w:rPr>
        <w:t>Le mode conduite couvre le démarrage, la pause et l'arrêt d'une session, l'affichage en direct de la vitesse, de la distance, de la durée et du nombre d'alertes, la production d'alertes simulées, et la consultation des statistiques passées.</w:t>
      </w:r>
    </w:p>
    <w:p>
      <w:pPr>
        <w:spacing w:before="320" w:after="100"/>
        <w:keepNext w:val="1"/>
      </w:pPr>
      <w:r>
        <w:rPr>
          <w:rFonts w:ascii="IBM Plex Mono" w:hAnsi="IBM Plex Mono" w:cs="IBM Plex Mono" w:eastAsia="IBM Plex Mono"/>
          <w:b/>
          <w:i w:val="0"/>
          <w:color w:val="C62A26"/>
          <w:sz w:val="26"/>
        </w:rPr>
        <w:t xml:space="preserve">2.5   </w:t>
      </w:r>
      <w:r>
        <w:rPr>
          <w:rFonts w:ascii="Bebas Neue" w:hAnsi="Bebas Neue" w:cs="Bebas Neue" w:eastAsia="Bebas Neue"/>
          <w:b w:val="0"/>
          <w:i w:val="0"/>
          <w:color w:val="1C1A17"/>
          <w:sz w:val="36"/>
          <w:spacing w:val="10"/>
        </w:rPr>
        <w:t>Besoins non fonctionnels</w:t>
      </w:r>
    </w:p>
    <w:p>
      <w:pPr>
        <w:spacing w:before="0" w:after="80" w:line="312" w:lineRule="auto"/>
        <w:ind w:firstLine="397"/>
        <w:jc w:val="both"/>
      </w:pPr>
      <w:r>
        <w:rPr>
          <w:rFonts w:ascii="IBM Plex Serif" w:hAnsi="IBM Plex Serif" w:cs="IBM Plex Serif" w:eastAsia="IBM Plex Serif"/>
          <w:b w:val="0"/>
          <w:i w:val="0"/>
          <w:color w:val="1C1A17"/>
          <w:sz w:val="21"/>
        </w:rPr>
        <w:t>Les besoins non fonctionnels sont ici moins décoratifs qu'à l'ordinaire, car plusieurs d'entre eux ont directement déterminé l'architecture.</w:t>
      </w:r>
    </w:p>
    <w:p>
      <w:pPr>
        <w:spacing w:before="200" w:after="80"/>
        <w:keepNext w:val="1"/>
      </w:pPr>
      <w:r>
        <w:rPr>
          <w:rFonts w:ascii="IBM Plex Sans" w:hAnsi="IBM Plex Sans" w:cs="IBM Plex Sans" w:eastAsia="IBM Plex Sans"/>
          <w:b/>
          <w:i w:val="0"/>
          <w:color w:val="C62A26"/>
          <w:sz w:val="18"/>
        </w:rPr>
        <w:t xml:space="preserve">Tableau 2 — </w:t>
      </w:r>
      <w:r>
        <w:rPr>
          <w:rFonts w:ascii="IBM Plex Sans" w:hAnsi="IBM Plex Sans" w:cs="IBM Plex Sans" w:eastAsia="IBM Plex Sans"/>
          <w:b w:val="0"/>
          <w:i w:val="0"/>
          <w:color w:val="55514A"/>
          <w:sz w:val="18"/>
        </w:rPr>
        <w:t>Besoins non fonctionnels et exigences chiffrées</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Domaine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Exigence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Justification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Performance de la recherche</w:t>
            </w:r>
          </w:p>
        </w:tc>
        <w:tc>
          <w:tcPr>
            <w:tcW w:type="dxa" w:w="3099"/>
          </w:tcPr>
          <w:p>
            <w:pPr>
              <w:spacing w:before="60" w:after="60" w:line="269" w:lineRule="auto"/>
            </w:pPr>
            <w:r/>
            <w:r>
              <w:rPr>
                <w:rFonts w:ascii="IBM Plex Serif" w:hAnsi="IBM Plex Serif" w:cs="IBM Plex Serif" w:eastAsia="IBM Plex Serif"/>
                <w:b w:val="0"/>
                <w:i w:val="0"/>
                <w:color w:val="1C1A17"/>
                <w:sz w:val="18"/>
              </w:rPr>
              <w:t>La requête de proximité doit consommer un index géospatial et non parcourir la table</w:t>
            </w:r>
          </w:p>
        </w:tc>
        <w:tc>
          <w:tcPr>
            <w:tcW w:type="dxa" w:w="3099"/>
          </w:tcPr>
          <w:p>
            <w:pPr>
              <w:spacing w:before="60" w:after="60" w:line="269" w:lineRule="auto"/>
            </w:pPr>
            <w:r/>
            <w:r>
              <w:rPr>
                <w:rFonts w:ascii="IBM Plex Serif" w:hAnsi="IBM Plex Serif" w:cs="IBM Plex Serif" w:eastAsia="IBM Plex Serif"/>
                <w:b w:val="0"/>
                <w:i w:val="0"/>
                <w:color w:val="1C1A17"/>
                <w:sz w:val="18"/>
              </w:rPr>
              <w:t>C'est la requête centrale, appelée à chaque ouverture de carte et à chaque changement de tri</w:t>
            </w:r>
          </w:p>
        </w:tc>
      </w:tr>
      <w:tr>
        <w:tc>
          <w:tcPr>
            <w:tcW w:type="dxa" w:w="3099"/>
          </w:tcPr>
          <w:p>
            <w:pPr>
              <w:spacing w:before="60" w:after="60" w:line="269" w:lineRule="auto"/>
            </w:pPr>
            <w:r/>
            <w:r>
              <w:rPr>
                <w:rFonts w:ascii="IBM Plex Serif" w:hAnsi="IBM Plex Serif" w:cs="IBM Plex Serif" w:eastAsia="IBM Plex Serif"/>
                <w:b w:val="0"/>
                <w:i w:val="0"/>
                <w:color w:val="1C1A17"/>
                <w:sz w:val="18"/>
              </w:rPr>
              <w:t>Fluidité cartographique</w:t>
            </w:r>
          </w:p>
        </w:tc>
        <w:tc>
          <w:tcPr>
            <w:tcW w:type="dxa" w:w="3099"/>
          </w:tcPr>
          <w:p>
            <w:pPr>
              <w:spacing w:before="60" w:after="60" w:line="269" w:lineRule="auto"/>
            </w:pPr>
            <w:r/>
            <w:r>
              <w:rPr>
                <w:rFonts w:ascii="IBM Plex Serif" w:hAnsi="IBM Plex Serif" w:cs="IBM Plex Serif" w:eastAsia="IBM Plex Serif"/>
                <w:b w:val="0"/>
                <w:i w:val="0"/>
                <w:color w:val="1C1A17"/>
                <w:sz w:val="18"/>
              </w:rPr>
              <w:t>60 images par seconde au déplacement et au zoom, avec 20 marqueurs, sur Android milieu de gamme</w:t>
            </w:r>
          </w:p>
        </w:tc>
        <w:tc>
          <w:tcPr>
            <w:tcW w:type="dxa" w:w="3099"/>
          </w:tcPr>
          <w:p>
            <w:pPr>
              <w:spacing w:before="60" w:after="60" w:line="269" w:lineRule="auto"/>
            </w:pPr>
            <w:r/>
            <w:r>
              <w:rPr>
                <w:rFonts w:ascii="IBM Plex Serif" w:hAnsi="IBM Plex Serif" w:cs="IBM Plex Serif" w:eastAsia="IBM Plex Serif"/>
                <w:b w:val="0"/>
                <w:i w:val="0"/>
                <w:color w:val="1C1A17"/>
                <w:sz w:val="18"/>
              </w:rPr>
              <w:t>Une carte saccadée est perçue comme une application cassée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Consommation de données</w:t>
            </w:r>
          </w:p>
        </w:tc>
        <w:tc>
          <w:tcPr>
            <w:tcW w:type="dxa" w:w="3099"/>
          </w:tcPr>
          <w:p>
            <w:pPr>
              <w:spacing w:before="60" w:after="60" w:line="269" w:lineRule="auto"/>
            </w:pPr>
            <w:r/>
            <w:r>
              <w:rPr>
                <w:rFonts w:ascii="IBM Plex Serif" w:hAnsi="IBM Plex Serif" w:cs="IBM Plex Serif" w:eastAsia="IBM Plex Serif"/>
                <w:b w:val="0"/>
                <w:i w:val="0"/>
                <w:color w:val="1C1A17"/>
                <w:sz w:val="18"/>
              </w:rPr>
              <w:t>Environ 120 octets par position émise, soit de l'ordre de 36 Ko pour 20 minutes d'intervention</w:t>
            </w:r>
          </w:p>
        </w:tc>
        <w:tc>
          <w:tcPr>
            <w:tcW w:type="dxa" w:w="3099"/>
          </w:tcPr>
          <w:p>
            <w:pPr>
              <w:spacing w:before="60" w:after="60" w:line="269" w:lineRule="auto"/>
            </w:pPr>
            <w:r/>
            <w:r>
              <w:rPr>
                <w:rFonts w:ascii="IBM Plex Serif" w:hAnsi="IBM Plex Serif" w:cs="IBM Plex Serif" w:eastAsia="IBM Plex Serif"/>
                <w:b w:val="0"/>
                <w:i w:val="0"/>
                <w:color w:val="1C1A17"/>
                <w:sz w:val="18"/>
              </w:rPr>
              <w:t>Les forfaits se comptent ; une application coûteuse en données est désinstallée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Tolérance au réseau</w:t>
            </w:r>
          </w:p>
        </w:tc>
        <w:tc>
          <w:tcPr>
            <w:tcW w:type="dxa" w:w="3099"/>
          </w:tcPr>
          <w:p>
            <w:pPr>
              <w:spacing w:before="60" w:after="60" w:line="269" w:lineRule="auto"/>
            </w:pPr>
            <w:r/>
            <w:r>
              <w:rPr>
                <w:rFonts w:ascii="IBM Plex Serif" w:hAnsi="IBM Plex Serif" w:cs="IBM Plex Serif" w:eastAsia="IBM Plex Serif"/>
                <w:b w:val="0"/>
                <w:i w:val="0"/>
                <w:color w:val="1C1A17"/>
                <w:sz w:val="18"/>
              </w:rPr>
              <w:t>Le suivi doit survivre à une coupure et se remettre à jour seul au retour du réseau</w:t>
            </w:r>
          </w:p>
        </w:tc>
        <w:tc>
          <w:tcPr>
            <w:tcW w:type="dxa" w:w="3099"/>
          </w:tcPr>
          <w:p>
            <w:pPr>
              <w:spacing w:before="60" w:after="60" w:line="269" w:lineRule="auto"/>
            </w:pPr>
            <w:r/>
            <w:r>
              <w:rPr>
                <w:rFonts w:ascii="IBM Plex Serif" w:hAnsi="IBM Plex Serif" w:cs="IBM Plex Serif" w:eastAsia="IBM Plex Serif"/>
                <w:b w:val="0"/>
                <w:i w:val="0"/>
                <w:color w:val="1C1A17"/>
                <w:sz w:val="18"/>
              </w:rPr>
              <w:t>La coupure n'est pas un incident, c'est le régime normal</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Précision affichée</w:t>
            </w:r>
          </w:p>
        </w:tc>
        <w:tc>
          <w:tcPr>
            <w:tcW w:type="dxa" w:w="3099"/>
          </w:tcPr>
          <w:p>
            <w:pPr>
              <w:spacing w:before="60" w:after="60" w:line="269" w:lineRule="auto"/>
            </w:pPr>
            <w:r/>
            <w:r>
              <w:rPr>
                <w:rFonts w:ascii="IBM Plex Serif" w:hAnsi="IBM Plex Serif" w:cs="IBM Plex Serif" w:eastAsia="IBM Plex Serif"/>
                <w:b w:val="0"/>
                <w:i w:val="0"/>
                <w:color w:val="1C1A17"/>
                <w:sz w:val="18"/>
              </w:rPr>
              <w:t>La précision réelle issue du capteur doit être montrée, jamais une valeur rassurante</w:t>
            </w:r>
          </w:p>
        </w:tc>
        <w:tc>
          <w:tcPr>
            <w:tcW w:type="dxa" w:w="3099"/>
          </w:tcPr>
          <w:p>
            <w:pPr>
              <w:spacing w:before="60" w:after="60" w:line="269" w:lineRule="auto"/>
            </w:pPr>
            <w:r/>
            <w:r>
              <w:rPr>
                <w:rFonts w:ascii="IBM Plex Serif" w:hAnsi="IBM Plex Serif" w:cs="IBM Plex Serif" w:eastAsia="IBM Plex Serif"/>
                <w:b w:val="0"/>
                <w:i w:val="0"/>
                <w:color w:val="1C1A17"/>
                <w:sz w:val="18"/>
              </w:rPr>
              <w:t>Un badge qui ment détruit la confiance dans tout le reste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Lisibilité</w:t>
            </w:r>
          </w:p>
        </w:tc>
        <w:tc>
          <w:tcPr>
            <w:tcW w:type="dxa" w:w="3099"/>
          </w:tcPr>
          <w:p>
            <w:pPr>
              <w:spacing w:before="60" w:after="60" w:line="269" w:lineRule="auto"/>
            </w:pPr>
            <w:r/>
            <w:r>
              <w:rPr>
                <w:rFonts w:ascii="IBM Plex Serif" w:hAnsi="IBM Plex Serif" w:cs="IBM Plex Serif" w:eastAsia="IBM Plex Serif"/>
                <w:b w:val="0"/>
                <w:i w:val="0"/>
                <w:color w:val="1C1A17"/>
                <w:sz w:val="18"/>
              </w:rPr>
              <w:t>Interface lisible en plein soleil, cible tactile d'au moins 44 par 44 pixels</w:t>
            </w:r>
          </w:p>
        </w:tc>
        <w:tc>
          <w:tcPr>
            <w:tcW w:type="dxa" w:w="3099"/>
          </w:tcPr>
          <w:p>
            <w:pPr>
              <w:spacing w:before="60" w:after="60" w:line="269" w:lineRule="auto"/>
            </w:pPr>
            <w:r/>
            <w:r>
              <w:rPr>
                <w:rFonts w:ascii="IBM Plex Serif" w:hAnsi="IBM Plex Serif" w:cs="IBM Plex Serif" w:eastAsia="IBM Plex Serif"/>
                <w:b w:val="0"/>
                <w:i w:val="0"/>
                <w:color w:val="1C1A17"/>
                <w:sz w:val="18"/>
              </w:rPr>
              <w:t>L'utilisateur est dehors, debout, souvent sous stress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Sécurité des accès</w:t>
            </w:r>
          </w:p>
        </w:tc>
        <w:tc>
          <w:tcPr>
            <w:tcW w:type="dxa" w:w="3099"/>
          </w:tcPr>
          <w:p>
            <w:pPr>
              <w:spacing w:before="60" w:after="60" w:line="269" w:lineRule="auto"/>
            </w:pPr>
            <w:r/>
            <w:r>
              <w:rPr>
                <w:rFonts w:ascii="IBM Plex Serif" w:hAnsi="IBM Plex Serif" w:cs="IBM Plex Serif" w:eastAsia="IBM Plex Serif"/>
                <w:b w:val="0"/>
                <w:i w:val="0"/>
                <w:color w:val="1C1A17"/>
                <w:sz w:val="18"/>
              </w:rPr>
              <w:t>Jeton d'accès court, jeton de rafraîchissement à rotation, jamais stocké en clair</w:t>
            </w:r>
          </w:p>
        </w:tc>
        <w:tc>
          <w:tcPr>
            <w:tcW w:type="dxa" w:w="3099"/>
          </w:tcPr>
          <w:p>
            <w:pPr>
              <w:spacing w:before="60" w:after="60" w:line="269" w:lineRule="auto"/>
            </w:pPr>
            <w:r/>
            <w:r>
              <w:rPr>
                <w:rFonts w:ascii="IBM Plex Serif" w:hAnsi="IBM Plex Serif" w:cs="IBM Plex Serif" w:eastAsia="IBM Plex Serif"/>
                <w:b w:val="0"/>
                <w:i w:val="0"/>
                <w:color w:val="1C1A17"/>
                <w:sz w:val="18"/>
              </w:rPr>
              <w:t>Une fuite de la base ne doit pas donner de sessions utilisables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Intégrité de la fidélité</w:t>
            </w:r>
          </w:p>
        </w:tc>
        <w:tc>
          <w:tcPr>
            <w:tcW w:type="dxa" w:w="3099"/>
          </w:tcPr>
          <w:p>
            <w:pPr>
              <w:spacing w:before="60" w:after="60" w:line="269" w:lineRule="auto"/>
            </w:pPr>
            <w:r/>
            <w:r>
              <w:rPr>
                <w:rFonts w:ascii="IBM Plex Serif" w:hAnsi="IBM Plex Serif" w:cs="IBM Plex Serif" w:eastAsia="IBM Plex Serif"/>
                <w:b w:val="0"/>
                <w:i w:val="0"/>
                <w:color w:val="1C1A17"/>
                <w:sz w:val="18"/>
              </w:rPr>
              <w:t>Aucun point crédité sans double confirmation ; aucun crédit rejouable</w:t>
            </w:r>
          </w:p>
        </w:tc>
        <w:tc>
          <w:tcPr>
            <w:tcW w:type="dxa" w:w="3099"/>
          </w:tcPr>
          <w:p>
            <w:pPr>
              <w:spacing w:before="60" w:after="60" w:line="269" w:lineRule="auto"/>
            </w:pPr>
            <w:r/>
            <w:r>
              <w:rPr>
                <w:rFonts w:ascii="IBM Plex Serif" w:hAnsi="IBM Plex Serif" w:cs="IBM Plex Serif" w:eastAsia="IBM Plex Serif"/>
                <w:b w:val="0"/>
                <w:i w:val="0"/>
                <w:color w:val="1C1A17"/>
                <w:sz w:val="18"/>
              </w:rPr>
              <w:t>Les points sont une valeur monétaire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Internationalisation</w:t>
            </w:r>
          </w:p>
        </w:tc>
        <w:tc>
          <w:tcPr>
            <w:tcW w:type="dxa" w:w="3099"/>
          </w:tcPr>
          <w:p>
            <w:pPr>
              <w:spacing w:before="60" w:after="60" w:line="269" w:lineRule="auto"/>
            </w:pPr>
            <w:r/>
            <w:r>
              <w:rPr>
                <w:rFonts w:ascii="IBM Plex Serif" w:hAnsi="IBM Plex Serif" w:cs="IBM Plex Serif" w:eastAsia="IBM Plex Serif"/>
                <w:b w:val="0"/>
                <w:i w:val="0"/>
                <w:color w:val="1C1A17"/>
                <w:sz w:val="18"/>
              </w:rPr>
              <w:t>Français par défaut, anglais prévu, libellés métier partagés serveur et mobile</w:t>
            </w:r>
          </w:p>
        </w:tc>
        <w:tc>
          <w:tcPr>
            <w:tcW w:type="dxa" w:w="3099"/>
          </w:tcPr>
          <w:p>
            <w:pPr>
              <w:spacing w:before="60" w:after="60" w:line="269" w:lineRule="auto"/>
            </w:pPr>
            <w:r/>
            <w:r>
              <w:rPr>
                <w:rFonts w:ascii="IBM Plex Serif" w:hAnsi="IBM Plex Serif" w:cs="IBM Plex Serif" w:eastAsia="IBM Plex Serif"/>
                <w:b w:val="0"/>
                <w:i w:val="0"/>
                <w:color w:val="1C1A17"/>
                <w:sz w:val="18"/>
              </w:rPr>
              <w:t>Deux listes séparées finissent toujours par se contredire</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Deux de ces exigences méritent un commentaire, car elles sont plus contraignantes qu'il n'y paraît.</w:t>
      </w:r>
    </w:p>
    <w:p>
      <w:pPr>
        <w:spacing w:before="0" w:after="80" w:line="312" w:lineRule="auto"/>
        <w:ind w:firstLine="397"/>
        <w:jc w:val="both"/>
      </w:pPr>
      <w:r>
        <w:rPr>
          <w:rFonts w:ascii="IBM Plex Serif" w:hAnsi="IBM Plex Serif" w:cs="IBM Plex Serif" w:eastAsia="IBM Plex Serif"/>
          <w:b w:val="0"/>
          <w:i w:val="0"/>
          <w:color w:val="1C1A17"/>
          <w:sz w:val="21"/>
        </w:rPr>
        <w:t>La tolérance au réseau, d'abord. Il ne suffit pas de gérer l'erreur : il faut concevoir un mode de fonctionnement dégradé qui rende encore un service exact. La différence est importante. Gérer l'erreur, c'est afficher « connexion perdue » et attendre. Concevoir un mode dégradé, c'est basculer sur une autre voie d'acheminement, continuer d'afficher une donnée juste quoique moins fraîche, l'annoncer honnêtement à l'utilisateur, et se remettre à jour tout seul quand la connexion revient. La seconde attitude coûte plus cher en conception, et c'est celle qui a été retenue.</w:t>
      </w:r>
    </w:p>
    <w:p>
      <w:pPr>
        <w:spacing w:before="0" w:after="80" w:line="312" w:lineRule="auto"/>
        <w:ind w:firstLine="397"/>
        <w:jc w:val="both"/>
      </w:pPr>
      <w:r>
        <w:rPr>
          <w:rFonts w:ascii="IBM Plex Serif" w:hAnsi="IBM Plex Serif" w:cs="IBM Plex Serif" w:eastAsia="IBM Plex Serif"/>
          <w:b w:val="0"/>
          <w:i w:val="0"/>
          <w:color w:val="1C1A17"/>
          <w:sz w:val="21"/>
        </w:rPr>
        <w:t>L'intégrité de la fidélité, ensuite. Elle impose une contrainte que la plupart des applications n'ont pas : la règle métier ne peut pas vivre uniquement dans le code applicatif. Un contrôle écrit dans une fonction est vrai tant que tous les chemins d'appel passent par cette fonction, ce qui cesse d'être vrai au troisième point d'entrée ajouté six mois plus tard. Une contrainte inscrite dans le schéma de la base reste vraie même quand le code se trompe. Le chapitre 5 détaille les cinq contraintes qui portent cette exigence.</w:t>
      </w:r>
    </w:p>
    <w:p>
      <w:pPr>
        <w:spacing w:before="320" w:after="100"/>
        <w:keepNext w:val="1"/>
      </w:pPr>
      <w:r>
        <w:rPr>
          <w:rFonts w:ascii="IBM Plex Mono" w:hAnsi="IBM Plex Mono" w:cs="IBM Plex Mono" w:eastAsia="IBM Plex Mono"/>
          <w:b/>
          <w:i w:val="0"/>
          <w:color w:val="C62A26"/>
          <w:sz w:val="26"/>
        </w:rPr>
        <w:t xml:space="preserve">2.6   </w:t>
      </w:r>
      <w:r>
        <w:rPr>
          <w:rFonts w:ascii="Bebas Neue" w:hAnsi="Bebas Neue" w:cs="Bebas Neue" w:eastAsia="Bebas Neue"/>
          <w:b w:val="0"/>
          <w:i w:val="0"/>
          <w:color w:val="1C1A17"/>
          <w:sz w:val="36"/>
          <w:spacing w:val="10"/>
        </w:rPr>
        <w:t>Les acteurs</w:t>
      </w:r>
    </w:p>
    <w:p>
      <w:pPr>
        <w:spacing w:before="0" w:after="80" w:line="312" w:lineRule="auto"/>
        <w:ind w:firstLine="397"/>
        <w:jc w:val="both"/>
      </w:pPr>
      <w:r>
        <w:rPr>
          <w:rFonts w:ascii="IBM Plex Serif" w:hAnsi="IBM Plex Serif" w:cs="IBM Plex Serif" w:eastAsia="IBM Plex Serif"/>
          <w:b w:val="0"/>
          <w:i w:val="0"/>
          <w:color w:val="1C1A17"/>
          <w:sz w:val="21"/>
        </w:rPr>
        <w:t>Le système reconnaît trois acteurs humains et un ensemble de services externes.</w:t>
      </w:r>
    </w:p>
    <w:p>
      <w:pPr>
        <w:spacing w:before="0" w:after="80" w:line="312" w:lineRule="auto"/>
        <w:ind w:firstLine="397"/>
        <w:jc w:val="both"/>
      </w:pPr>
      <w:r>
        <w:rPr>
          <w:rFonts w:ascii="IBM Plex Serif" w:hAnsi="IBM Plex Serif" w:cs="IBM Plex Serif" w:eastAsia="IBM Plex Serif"/>
          <w:b w:val="0"/>
          <w:i w:val="0"/>
          <w:color w:val="1C1A17"/>
          <w:sz w:val="21"/>
        </w:rPr>
        <w:t>Le client est un automobiliste, propriétaire ou conducteur d'un véhicule. C'est l'acteur principal : il déclare les pannes, choisit les garages, suit les interventions, publie des avis et accumule des points. Il utilise l'application dans une situation qui n'est presque jamais confortable, et cette circonstance a des conséquences sur l'interface bien plus que sur le modèle de données.</w:t>
      </w:r>
    </w:p>
    <w:p>
      <w:pPr>
        <w:spacing w:before="0" w:after="80" w:line="312" w:lineRule="auto"/>
        <w:ind w:firstLine="397"/>
        <w:jc w:val="both"/>
      </w:pPr>
      <w:r>
        <w:rPr>
          <w:rFonts w:ascii="IBM Plex Serif" w:hAnsi="IBM Plex Serif" w:cs="IBM Plex Serif" w:eastAsia="IBM Plex Serif"/>
          <w:b w:val="0"/>
          <w:i w:val="0"/>
          <w:color w:val="1C1A17"/>
          <w:sz w:val="21"/>
        </w:rPr>
        <w:t>Le garagiste est le propriétaire d'un atelier. Il s'inscrit depuis l'application, ce qui crée son garage et promeut son compte. Il reçoit les demandes qui lui sont adressées, les accepte ou les refuse, se déclare en route, et confirme son arrivée. Un même compte ne peut détenir qu'un seul garage, contrainte garantie par un index d'unicité et non par une vérification applicative, pour les raisons exposées au chapitre 5.</w:t>
      </w:r>
    </w:p>
    <w:p>
      <w:pPr>
        <w:spacing w:before="0" w:after="80" w:line="312" w:lineRule="auto"/>
        <w:ind w:firstLine="397"/>
        <w:jc w:val="both"/>
      </w:pPr>
      <w:r>
        <w:rPr>
          <w:rFonts w:ascii="IBM Plex Serif" w:hAnsi="IBM Plex Serif" w:cs="IBM Plex Serif" w:eastAsia="IBM Plex Serif"/>
          <w:b w:val="0"/>
          <w:i w:val="0"/>
          <w:color w:val="1C1A17"/>
          <w:sz w:val="21"/>
        </w:rPr>
        <w:t>L'administrateur vérifie les dossiers de garage déposés depuis l'application et prononce éventuellement leur certification. Le document distingue soigneusement ces deux actes : vérifier, c'est constater que le garage existe ; certifier, c'est répondre de sa qualité. Un garage vérifié mais non certifié est le cas normal, et un garage non vérifié ne peut pas être actif, ce qui l'empêche structurellement d'apparaître dans les résultats de recherche.</w:t>
      </w:r>
    </w:p>
    <w:p>
      <w:pPr>
        <w:spacing w:before="0" w:after="80" w:line="312" w:lineRule="auto"/>
        <w:ind w:firstLine="397"/>
        <w:jc w:val="both"/>
      </w:pPr>
      <w:r>
        <w:rPr>
          <w:rFonts w:ascii="IBM Plex Serif" w:hAnsi="IBM Plex Serif" w:cs="IBM Plex Serif" w:eastAsia="IBM Plex Serif"/>
          <w:b w:val="0"/>
          <w:i w:val="0"/>
          <w:color w:val="1C1A17"/>
          <w:sz w:val="21"/>
        </w:rPr>
        <w:t>Les services externes sont le fournisseur de tuiles cartographiques, le service de stockage des photographies, et le moteur de calcul d'itinéraire. Ils n'ont pas d'initiative propre et n'apparaissent donc pas comme acteurs dans le diagramme de cas d'utilisation, mais ils conditionnent le fonctionnement et sont traités au chapitre 6.</w:t>
      </w:r>
    </w:p>
    <w:p>
      <w:pPr>
        <w:pageBreakBefore w:val="1"/>
        <w:spacing w:before="0" w:after="40"/>
      </w:pPr>
      <w:r>
        <w:rPr>
          <w:rFonts w:ascii="Bebas Neue" w:hAnsi="Bebas Neue" w:cs="Bebas Neue" w:eastAsia="Bebas Neue"/>
          <w:b w:val="0"/>
          <w:i w:val="0"/>
          <w:color w:val="C62A26"/>
          <w:sz w:val="22"/>
          <w:spacing w:val="38"/>
        </w:rPr>
        <w:t>CHAPITRE 3</w:t>
      </w:r>
    </w:p>
    <w:p>
      <w:pPr>
        <w:spacing w:after="320"/>
        <w:pBdr>
          <w:bottom w:val="single" w:sz="10" w:space="8" w:color="C62A26"/>
        </w:pBdr>
        <w:keepNext w:val="1"/>
      </w:pPr>
      <w:r>
        <w:rPr>
          <w:rFonts w:ascii="Bebas Neue" w:hAnsi="Bebas Neue" w:cs="Bebas Neue" w:eastAsia="Bebas Neue"/>
          <w:b w:val="0"/>
          <w:i w:val="0"/>
          <w:color w:val="1C1A17"/>
          <w:sz w:val="54"/>
          <w:spacing w:val="10"/>
        </w:rPr>
        <w:t>La solution proposée</w:t>
      </w:r>
    </w:p>
    <w:p>
      <w:pPr>
        <w:spacing w:before="320" w:after="100"/>
        <w:keepNext w:val="1"/>
      </w:pPr>
      <w:r>
        <w:rPr>
          <w:rFonts w:ascii="IBM Plex Mono" w:hAnsi="IBM Plex Mono" w:cs="IBM Plex Mono" w:eastAsia="IBM Plex Mono"/>
          <w:b/>
          <w:i w:val="0"/>
          <w:color w:val="C62A26"/>
          <w:sz w:val="26"/>
        </w:rPr>
        <w:t xml:space="preserve">3.1   </w:t>
      </w:r>
      <w:r>
        <w:rPr>
          <w:rFonts w:ascii="Bebas Neue" w:hAnsi="Bebas Neue" w:cs="Bebas Neue" w:eastAsia="Bebas Neue"/>
          <w:b w:val="0"/>
          <w:i w:val="0"/>
          <w:color w:val="1C1A17"/>
          <w:sz w:val="36"/>
          <w:spacing w:val="10"/>
        </w:rPr>
        <w:t>Principe</w:t>
      </w:r>
    </w:p>
    <w:p>
      <w:pPr>
        <w:spacing w:before="0" w:after="80" w:line="312" w:lineRule="auto"/>
        <w:ind w:firstLine="397"/>
        <w:jc w:val="both"/>
      </w:pPr>
      <w:r>
        <w:rPr>
          <w:rFonts w:ascii="IBM Plex Serif" w:hAnsi="IBM Plex Serif" w:cs="IBM Plex Serif" w:eastAsia="IBM Plex Serif"/>
          <w:b w:val="0"/>
          <w:i w:val="0"/>
          <w:color w:val="1C1A17"/>
          <w:sz w:val="21"/>
        </w:rPr>
        <w:t>GeoCras est une application mobile unique, servant deux rôles distincts derrière le même compte, adossée à une interface de programmation qui détient la donnée métier.</w:t>
      </w:r>
    </w:p>
    <w:p>
      <w:pPr>
        <w:spacing w:before="0" w:after="80" w:line="312" w:lineRule="auto"/>
        <w:ind w:firstLine="397"/>
        <w:jc w:val="both"/>
      </w:pPr>
      <w:r>
        <w:rPr>
          <w:rFonts w:ascii="IBM Plex Serif" w:hAnsi="IBM Plex Serif" w:cs="IBM Plex Serif" w:eastAsia="IBM Plex Serif"/>
          <w:b w:val="0"/>
          <w:i w:val="0"/>
          <w:color w:val="1C1A17"/>
          <w:sz w:val="21"/>
        </w:rPr>
        <w:t>Le principe tient en une phrase : la position remplace la description. Tout ce que l'application fait de particulier découle de cette substitution. Le conducteur n'explique plus où il est, son téléphone le dit. Le garagiste ne reconstitue plus un itinéraire à partir de repères, il le voit tracé. Le classement des ateliers ne se fait plus de mémoire, il se calcule sur une distance réelle, une note pondérée et une certification vérifiée. Et l'arrivée n'est plus une affirmation, c'est un événement horodaté que les deux parties confirment.</w:t>
      </w:r>
    </w:p>
    <w:p>
      <w:pPr>
        <w:spacing w:before="0" w:after="80" w:line="312" w:lineRule="auto"/>
        <w:ind w:firstLine="397"/>
        <w:jc w:val="both"/>
      </w:pPr>
      <w:r>
        <w:rPr>
          <w:rFonts w:ascii="IBM Plex Serif" w:hAnsi="IBM Plex Serif" w:cs="IBM Plex Serif" w:eastAsia="IBM Plex Serif"/>
          <w:b w:val="0"/>
          <w:i w:val="0"/>
          <w:color w:val="1C1A17"/>
          <w:sz w:val="21"/>
        </w:rPr>
        <w:t>Le service se déroule en cinq temps. La position est captée au lancement, sans action de l'utilisateur. Le bouton SOS ouvre une déclaration de panne courte, où la liste des problèmes proposés est triée selon le véhicule déclaré, la panne la plus probable en tête. L'envoi de cette déclaration retourne, dans le même aller-retour réseau, la liste des garages classés par pertinence, affichés sur une carte avec des marqueurs numérotés. Le client en choisit un ; le garagiste reçoit la demande, l'accepte ou la refuse, puis se déclare en route. À partir de là, les deux parties se voient avancer l'une vers l'autre, avec deux temps d'arrivée estimés recalculés en continu par le serveur. Enfin, quand la distance qui les sépare devient une distance de vue, l'application leur demande à chacune de confirmer qu'elles se sont trouvées, et c'est cette double confirmation qui clôt l'intervention et déclenche le crédit de points.</w:t>
      </w:r>
    </w:p>
    <w:p>
      <w:pPr>
        <w:spacing w:before="320" w:after="100"/>
        <w:keepNext w:val="1"/>
      </w:pPr>
      <w:r>
        <w:rPr>
          <w:rFonts w:ascii="IBM Plex Mono" w:hAnsi="IBM Plex Mono" w:cs="IBM Plex Mono" w:eastAsia="IBM Plex Mono"/>
          <w:b/>
          <w:i w:val="0"/>
          <w:color w:val="C62A26"/>
          <w:sz w:val="26"/>
        </w:rPr>
        <w:t xml:space="preserve">3.2   </w:t>
      </w:r>
      <w:r>
        <w:rPr>
          <w:rFonts w:ascii="Bebas Neue" w:hAnsi="Bebas Neue" w:cs="Bebas Neue" w:eastAsia="Bebas Neue"/>
          <w:b w:val="0"/>
          <w:i w:val="0"/>
          <w:color w:val="1C1A17"/>
          <w:sz w:val="36"/>
          <w:spacing w:val="10"/>
        </w:rPr>
        <w:t>Ce qui distingue la solution</w:t>
      </w:r>
    </w:p>
    <w:p>
      <w:pPr>
        <w:spacing w:before="0" w:after="80" w:line="312" w:lineRule="auto"/>
        <w:ind w:firstLine="397"/>
        <w:jc w:val="both"/>
      </w:pPr>
      <w:r>
        <w:rPr>
          <w:rFonts w:ascii="IBM Plex Serif" w:hAnsi="IBM Plex Serif" w:cs="IBM Plex Serif" w:eastAsia="IBM Plex Serif"/>
          <w:b w:val="0"/>
          <w:i w:val="0"/>
          <w:color w:val="1C1A17"/>
          <w:sz w:val="21"/>
        </w:rPr>
        <w:t>Quatre partis pris méritent d'être isolés, parce qu'ils ne vont pas de soi et qu'ils ont chacun un coût.</w:t>
      </w:r>
    </w:p>
    <w:p>
      <w:pPr>
        <w:spacing w:before="0" w:after="80" w:line="312" w:lineRule="auto"/>
        <w:ind w:firstLine="397"/>
        <w:jc w:val="both"/>
      </w:pPr>
      <w:r>
        <w:rPr>
          <w:rFonts w:ascii="IBM Plex Serif" w:hAnsi="IBM Plex Serif" w:cs="IBM Plex Serif" w:eastAsia="IBM Plex Serif"/>
          <w:b w:val="0"/>
          <w:i w:val="0"/>
          <w:color w:val="1C1A17"/>
          <w:sz w:val="21"/>
        </w:rPr>
        <w:t>Le premier est que le classement est calculé par le serveur et jamais recalculé par le mobile. Un rang affiché à l'écran est un rang produit par la requête SQL, transporté tel quel jusqu'au marqueur. Cela paraît anodin ; c'est en réalité ce qui garantit que le numéro 2 sur la carte est le même que le numéro 2 dans la liste, y compris après un changement de tri, une reconnexion ou un rafraîchissement partiel. Un classement recalculé localement diverge du serveur dès que les données bougent, et cette divergence est invisible en développement puis embarrassante en production.</w:t>
      </w:r>
    </w:p>
    <w:p>
      <w:pPr>
        <w:spacing w:before="0" w:after="80" w:line="312" w:lineRule="auto"/>
        <w:ind w:firstLine="397"/>
        <w:jc w:val="both"/>
      </w:pPr>
      <w:r>
        <w:rPr>
          <w:rFonts w:ascii="IBM Plex Serif" w:hAnsi="IBM Plex Serif" w:cs="IBM Plex Serif" w:eastAsia="IBM Plex Serif"/>
          <w:b w:val="0"/>
          <w:i w:val="0"/>
          <w:color w:val="1C1A17"/>
          <w:sz w:val="21"/>
        </w:rPr>
        <w:t>Le deuxième est que l'itinéraire est tracé dans l'application, et non délégué par un lien vers une carte tierce. Le lien externe aurait été bien plus simple à écrire. Il est incompatible avec le produit : il fait sortir l'utilisateur de l'application, donc interrompt le suivi, donc supprime la double confirmation, donc détruit la preuve sur laquelle repose toute la fidélité. Un choix d'apparence pratique aurait fait tomber la fonction centrale.</w:t>
      </w:r>
    </w:p>
    <w:p>
      <w:pPr>
        <w:spacing w:before="0" w:after="80" w:line="312" w:lineRule="auto"/>
        <w:ind w:firstLine="397"/>
        <w:jc w:val="both"/>
      </w:pPr>
      <w:r>
        <w:rPr>
          <w:rFonts w:ascii="IBM Plex Serif" w:hAnsi="IBM Plex Serif" w:cs="IBM Plex Serif" w:eastAsia="IBM Plex Serif"/>
          <w:b w:val="0"/>
          <w:i w:val="0"/>
          <w:color w:val="1C1A17"/>
          <w:sz w:val="21"/>
        </w:rPr>
        <w:t>Le troisième est que le temps d'arrivée estimé est calculé par le serveur pour les deux parties. Il aurait été plus économique de laisser chaque téléphone calculer le sien. Deux raisons l'interdisent : les deux parties doivent voir le même chiffre, faute de quoi elles se contredisent au téléphone ; et cet estimé alimente la détection de fraude, ce qui suppose qu'il ne soit pas produit par un appareil que l'on cherche précisément à surveiller.</w:t>
      </w:r>
    </w:p>
    <w:p>
      <w:pPr>
        <w:spacing w:before="0" w:after="80" w:line="312" w:lineRule="auto"/>
        <w:ind w:firstLine="397"/>
        <w:jc w:val="both"/>
      </w:pPr>
      <w:r>
        <w:rPr>
          <w:rFonts w:ascii="IBM Plex Serif" w:hAnsi="IBM Plex Serif" w:cs="IBM Plex Serif" w:eastAsia="IBM Plex Serif"/>
          <w:b w:val="0"/>
          <w:i w:val="0"/>
          <w:color w:val="1C1A17"/>
          <w:sz w:val="21"/>
        </w:rPr>
        <w:t>Le quatrième est que les règles métier sensibles sont inscrites dans le schéma de la base et non dans le code applicatif. C'est plus rigide, cela oblige à écrire des migrations, et cela rend certaines évolutions plus lourdes. C'est aussi la seule manière d'obtenir une garantie qui survive aux six prochains mois de développement.</w:t>
      </w:r>
    </w:p>
    <w:p>
      <w:pPr>
        <w:spacing w:before="320" w:after="100"/>
        <w:keepNext w:val="1"/>
      </w:pPr>
      <w:r>
        <w:rPr>
          <w:rFonts w:ascii="IBM Plex Mono" w:hAnsi="IBM Plex Mono" w:cs="IBM Plex Mono" w:eastAsia="IBM Plex Mono"/>
          <w:b/>
          <w:i w:val="0"/>
          <w:color w:val="C62A26"/>
          <w:sz w:val="26"/>
        </w:rPr>
        <w:t xml:space="preserve">3.3   </w:t>
      </w:r>
      <w:r>
        <w:rPr>
          <w:rFonts w:ascii="Bebas Neue" w:hAnsi="Bebas Neue" w:cs="Bebas Neue" w:eastAsia="Bebas Neue"/>
          <w:b w:val="0"/>
          <w:i w:val="0"/>
          <w:color w:val="1C1A17"/>
          <w:sz w:val="36"/>
          <w:spacing w:val="10"/>
        </w:rPr>
        <w:t>Périmètre de la première version</w:t>
      </w:r>
    </w:p>
    <w:p>
      <w:pPr>
        <w:spacing w:before="0" w:after="80" w:line="312" w:lineRule="auto"/>
        <w:ind w:firstLine="397"/>
        <w:jc w:val="both"/>
      </w:pPr>
      <w:r>
        <w:rPr>
          <w:rFonts w:ascii="IBM Plex Serif" w:hAnsi="IBM Plex Serif" w:cs="IBM Plex Serif" w:eastAsia="IBM Plex Serif"/>
          <w:b w:val="0"/>
          <w:i w:val="0"/>
          <w:color w:val="1C1A17"/>
          <w:sz w:val="21"/>
        </w:rPr>
        <w:t>Il est utile d'énoncer ce que la première version ne fait pas, et pourquoi, car un périmètre non écrit se remplit tout seul.</w:t>
      </w:r>
    </w:p>
    <w:p>
      <w:pPr>
        <w:spacing w:before="0" w:after="80" w:line="312" w:lineRule="auto"/>
        <w:ind w:firstLine="397"/>
        <w:jc w:val="both"/>
      </w:pPr>
      <w:r>
        <w:rPr>
          <w:rFonts w:ascii="IBM Plex Serif" w:hAnsi="IBM Plex Serif" w:cs="IBM Plex Serif" w:eastAsia="IBM Plex Serif"/>
          <w:b w:val="0"/>
          <w:i w:val="0"/>
          <w:color w:val="1C1A17"/>
          <w:sz w:val="21"/>
        </w:rPr>
        <w:t>Le mode conduite est une simulation. Aucun capteur, aucune caméra, aucun radar. Les alertes sont produites par un moteur d'événements dont la crédibilité est travaillée — profil de vitesse plausible, alertes cohérentes avec la vitesse courante — mais qui ne mesure rien du monde extérieur. Ce point est assumé et affiché : il serait malhonnête de laisser croire à un conducteur qu'une alerte d'angle mort correspond à une observation.</w:t>
      </w:r>
    </w:p>
    <w:p>
      <w:pPr>
        <w:spacing w:before="0" w:after="80" w:line="312" w:lineRule="auto"/>
        <w:ind w:firstLine="397"/>
        <w:jc w:val="both"/>
      </w:pPr>
      <w:r>
        <w:rPr>
          <w:rFonts w:ascii="IBM Plex Serif" w:hAnsi="IBM Plex Serif" w:cs="IBM Plex Serif" w:eastAsia="IBM Plex Serif"/>
          <w:b w:val="0"/>
          <w:i w:val="0"/>
          <w:color w:val="1C1A17"/>
          <w:sz w:val="21"/>
        </w:rPr>
        <w:t>Le paiement en ligne n'est pas intégré. La conversion des points en Mobile Money est décrite dans le barème mais n'est jamais automatique dans cette version : elle passe par une revue. La raison est exposée au chapitre 5 et tient entièrement au risque de fraude.</w:t>
      </w:r>
    </w:p>
    <w:p>
      <w:pPr>
        <w:spacing w:before="0" w:after="80" w:line="312" w:lineRule="auto"/>
        <w:ind w:firstLine="397"/>
        <w:jc w:val="both"/>
      </w:pPr>
      <w:r>
        <w:rPr>
          <w:rFonts w:ascii="IBM Plex Serif" w:hAnsi="IBM Plex Serif" w:cs="IBM Plex Serif" w:eastAsia="IBM Plex Serif"/>
          <w:b w:val="0"/>
          <w:i w:val="0"/>
          <w:color w:val="1C1A17"/>
          <w:sz w:val="21"/>
        </w:rPr>
        <w:t>Le moteur de calcul d'itinéraire n'est pas encore auto-hébergé. La cible est un serveur de routage sur l'extrait cartographique du Cameroun ; en attendant, la durée de trajet est approchée par un calcul géométrique et l'interface la présente explicitement comme provisoire, plutôt que d'afficher un chiffre précis qui serait faux.</w:t>
      </w:r>
    </w:p>
    <w:p>
      <w:pPr>
        <w:spacing w:before="0" w:after="80" w:line="312" w:lineRule="auto"/>
        <w:ind w:firstLine="397"/>
        <w:jc w:val="both"/>
      </w:pPr>
      <w:r>
        <w:rPr>
          <w:rFonts w:ascii="IBM Plex Serif" w:hAnsi="IBM Plex Serif" w:cs="IBM Plex Serif" w:eastAsia="IBM Plex Serif"/>
          <w:b w:val="0"/>
          <w:i w:val="0"/>
          <w:color w:val="1C1A17"/>
          <w:sz w:val="21"/>
        </w:rPr>
        <w:t>Enfin, l'anglais est prévu dans toute la chaîne — les libellés métier portent déjà leurs deux versions — mais l'interface n'est livrée qu'en français.</w:t>
      </w:r>
    </w:p>
    <w:p>
      <w:pPr>
        <w:spacing w:before="320" w:after="100"/>
        <w:keepNext w:val="1"/>
      </w:pPr>
      <w:r>
        <w:rPr>
          <w:rFonts w:ascii="IBM Plex Mono" w:hAnsi="IBM Plex Mono" w:cs="IBM Plex Mono" w:eastAsia="IBM Plex Mono"/>
          <w:b/>
          <w:i w:val="0"/>
          <w:color w:val="C62A26"/>
          <w:sz w:val="26"/>
        </w:rPr>
        <w:t xml:space="preserve">3.4   </w:t>
      </w:r>
      <w:r>
        <w:rPr>
          <w:rFonts w:ascii="Bebas Neue" w:hAnsi="Bebas Neue" w:cs="Bebas Neue" w:eastAsia="Bebas Neue"/>
          <w:b w:val="0"/>
          <w:i w:val="0"/>
          <w:color w:val="1C1A17"/>
          <w:sz w:val="36"/>
          <w:spacing w:val="10"/>
        </w:rPr>
        <w:t>Les trois risques identifiés</w:t>
      </w:r>
    </w:p>
    <w:p>
      <w:pPr>
        <w:spacing w:before="0" w:after="80" w:line="312" w:lineRule="auto"/>
        <w:ind w:firstLine="397"/>
        <w:jc w:val="both"/>
      </w:pPr>
      <w:r>
        <w:rPr>
          <w:rFonts w:ascii="IBM Plex Serif" w:hAnsi="IBM Plex Serif" w:cs="IBM Plex Serif" w:eastAsia="IBM Plex Serif"/>
          <w:b w:val="0"/>
          <w:i w:val="0"/>
          <w:color w:val="1C1A17"/>
          <w:sz w:val="21"/>
        </w:rPr>
        <w:t>Le projet a été planifié autour de trois risques, classés par gravité, et l'ordre de construction en découle directement.</w:t>
      </w:r>
    </w:p>
    <w:p>
      <w:pPr>
        <w:spacing w:before="0" w:after="80" w:line="312" w:lineRule="auto"/>
        <w:ind w:firstLine="397"/>
        <w:jc w:val="both"/>
      </w:pPr>
      <w:r>
        <w:rPr>
          <w:rFonts w:ascii="IBM Plex Serif" w:hAnsi="IBM Plex Serif" w:cs="IBM Plex Serif" w:eastAsia="IBM Plex Serif"/>
          <w:b w:val="0"/>
          <w:i w:val="0"/>
          <w:color w:val="1C1A17"/>
          <w:sz w:val="21"/>
        </w:rPr>
        <w:t>Le premier et le plus grave est la chaîne de confiance de la fidélité. Les points ont vocation à devenir de l'argent. La double confirmation d'arrivée prouve que deux personnes se sont mises d'accord, elle ne prouve pas qu'une intervention a eu lieu. Deux comptes complices qui se confirment mutuellement suffisent à faire imprimer de la valeur au système. Ce risque est traité au chapitre 5 par un ensemble de garde-fous dont le plus important est la preuve de mouvement.</w:t>
      </w:r>
    </w:p>
    <w:p>
      <w:pPr>
        <w:spacing w:before="0" w:after="80" w:line="312" w:lineRule="auto"/>
        <w:ind w:firstLine="397"/>
        <w:jc w:val="both"/>
      </w:pPr>
      <w:r>
        <w:rPr>
          <w:rFonts w:ascii="IBM Plex Serif" w:hAnsi="IBM Plex Serif" w:cs="IBM Plex Serif" w:eastAsia="IBM Plex Serif"/>
          <w:b w:val="0"/>
          <w:i w:val="0"/>
          <w:color w:val="1C1A17"/>
          <w:sz w:val="21"/>
        </w:rPr>
        <w:t>Le deuxième est la qualité du signal de localisation et du réseau. Vingt à cinquante mètres de précision en centre-ville, une couverture qui oscille, des coupures franches. Les symptômes sont connus : des temps d'arrivée qui sautent, des positions qui se téléportent, un indicateur de précision qui ment. Le traitement combine un filtrage des mesures, le rejet des déplacements physiquement implausibles, l'affichage de la précision réelle et un mode dégradé conçu dès le départ.</w:t>
      </w:r>
    </w:p>
    <w:p>
      <w:pPr>
        <w:spacing w:before="0" w:after="80" w:line="312" w:lineRule="auto"/>
        <w:ind w:firstLine="397"/>
        <w:jc w:val="both"/>
      </w:pPr>
      <w:r>
        <w:rPr>
          <w:rFonts w:ascii="IBM Plex Serif" w:hAnsi="IBM Plex Serif" w:cs="IBM Plex Serif" w:eastAsia="IBM Plex Serif"/>
          <w:b w:val="0"/>
          <w:i w:val="0"/>
          <w:color w:val="1C1A17"/>
          <w:sz w:val="21"/>
        </w:rPr>
        <w:t>Le troisième est technique et concerne la couche cartographique. La bibliothèque de rendu retenue doit fonctionner sur la nouvelle architecture de la plateforme mobile, ce qui n'est pas confirmé pour la version du kit de développement employée. C'est le risque le plus susceptible de coûter une semaine entière, et il conditionne tous les écrans qui affichent une carte. Il a donc été placé en tout premier dans l'ordre de construction, avant le moindre écran d'habillage, avec deux issues de secours documentées à l'avance.</w:t>
      </w:r>
    </w:p>
    <w:p>
      <w:pPr>
        <w:pageBreakBefore w:val="1"/>
        <w:spacing w:before="0" w:after="40"/>
      </w:pPr>
      <w:r>
        <w:rPr>
          <w:rFonts w:ascii="Bebas Neue" w:hAnsi="Bebas Neue" w:cs="Bebas Neue" w:eastAsia="Bebas Neue"/>
          <w:b w:val="0"/>
          <w:i w:val="0"/>
          <w:color w:val="C62A26"/>
          <w:sz w:val="22"/>
          <w:spacing w:val="38"/>
        </w:rPr>
        <w:t>CHAPITRE 4</w:t>
      </w:r>
    </w:p>
    <w:p>
      <w:pPr>
        <w:spacing w:after="320"/>
        <w:pBdr>
          <w:bottom w:val="single" w:sz="10" w:space="8" w:color="C62A26"/>
        </w:pBdr>
        <w:keepNext w:val="1"/>
      </w:pPr>
      <w:r>
        <w:rPr>
          <w:rFonts w:ascii="Bebas Neue" w:hAnsi="Bebas Neue" w:cs="Bebas Neue" w:eastAsia="Bebas Neue"/>
          <w:b w:val="0"/>
          <w:i w:val="0"/>
          <w:color w:val="1C1A17"/>
          <w:sz w:val="54"/>
          <w:spacing w:val="10"/>
        </w:rPr>
        <w:t>Spécifications générales</w:t>
      </w:r>
    </w:p>
    <w:p>
      <w:pPr>
        <w:spacing w:before="320" w:after="100"/>
        <w:keepNext w:val="1"/>
      </w:pPr>
      <w:r>
        <w:rPr>
          <w:rFonts w:ascii="IBM Plex Mono" w:hAnsi="IBM Plex Mono" w:cs="IBM Plex Mono" w:eastAsia="IBM Plex Mono"/>
          <w:b/>
          <w:i w:val="0"/>
          <w:color w:val="C62A26"/>
          <w:sz w:val="26"/>
        </w:rPr>
        <w:t xml:space="preserve">4.1   </w:t>
      </w:r>
      <w:r>
        <w:rPr>
          <w:rFonts w:ascii="Bebas Neue" w:hAnsi="Bebas Neue" w:cs="Bebas Neue" w:eastAsia="Bebas Neue"/>
          <w:b w:val="0"/>
          <w:i w:val="0"/>
          <w:color w:val="1C1A17"/>
          <w:sz w:val="36"/>
          <w:spacing w:val="10"/>
        </w:rPr>
        <w:t>Architecture générale du système</w:t>
      </w:r>
    </w:p>
    <w:p>
      <w:pPr>
        <w:spacing w:before="0" w:after="80" w:line="312" w:lineRule="auto"/>
        <w:ind w:firstLine="397"/>
        <w:jc w:val="both"/>
      </w:pPr>
      <w:r>
        <w:rPr>
          <w:rFonts w:ascii="IBM Plex Serif" w:hAnsi="IBM Plex Serif" w:cs="IBM Plex Serif" w:eastAsia="IBM Plex Serif"/>
          <w:b w:val="0"/>
          <w:i w:val="0"/>
          <w:color w:val="1C1A17"/>
          <w:sz w:val="21"/>
        </w:rPr>
        <w:t>Le système se compose de quatre couches, dont une, le paquet de contrats partagés, n'existe que pour empêcher les deux extrémités de diverger.</w:t>
      </w:r>
    </w:p>
    <w:p>
      <w:pPr>
        <w:spacing w:before="200" w:after="80"/>
        <w:jc w:val="center"/>
      </w:pPr>
      <w:r>
        <w:drawing>
          <wp:inline xmlns:a="http://schemas.openxmlformats.org/drawingml/2006/main" xmlns:pic="http://schemas.openxmlformats.org/drawingml/2006/picture">
            <wp:extent cx="5904000" cy="3301698"/>
            <wp:docPr id="2" name="Picture 2"/>
            <wp:cNvGraphicFramePr>
              <a:graphicFrameLocks noChangeAspect="1"/>
            </wp:cNvGraphicFramePr>
            <a:graphic>
              <a:graphicData uri="http://schemas.openxmlformats.org/drawingml/2006/picture">
                <pic:pic>
                  <pic:nvPicPr>
                    <pic:cNvPr id="0" name="01-architecture.png"/>
                    <pic:cNvPicPr/>
                  </pic:nvPicPr>
                  <pic:blipFill>
                    <a:blip r:embed="rId10"/>
                    <a:stretch>
                      <a:fillRect/>
                    </a:stretch>
                  </pic:blipFill>
                  <pic:spPr>
                    <a:xfrm>
                      <a:off x="0" y="0"/>
                      <a:ext cx="5904000" cy="3301698"/>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1 — </w:t>
      </w:r>
      <w:r>
        <w:rPr>
          <w:rFonts w:ascii="IBM Plex Sans" w:hAnsi="IBM Plex Sans" w:cs="IBM Plex Sans" w:eastAsia="IBM Plex Sans"/>
          <w:b w:val="0"/>
          <w:i w:val="0"/>
          <w:color w:val="55514A"/>
          <w:sz w:val="18"/>
        </w:rPr>
        <w:t>Architecture générale : couches, responsabilités et dépendances externes</w:t>
      </w:r>
    </w:p>
    <w:p>
      <w:pPr>
        <w:spacing w:before="0" w:after="80" w:line="312" w:lineRule="auto"/>
        <w:ind w:firstLine="397"/>
        <w:jc w:val="both"/>
      </w:pPr>
      <w:r>
        <w:rPr>
          <w:rFonts w:ascii="IBM Plex Serif" w:hAnsi="IBM Plex Serif" w:cs="IBM Plex Serif" w:eastAsia="IBM Plex Serif"/>
          <w:b w:val="0"/>
          <w:i w:val="0"/>
          <w:color w:val="1C1A17"/>
          <w:sz w:val="21"/>
        </w:rPr>
        <w:t>La couche de présentation est une application React Native construite avec Expo, dont le routage repose sur l'arborescence de fichiers. Elle contient les écrans, l'état applicatif, la couche d'accès au réseau et le rendu cartographique. Une règle y est appliquée strictement : aucun appel réseau n'est écrit dans un composant, tout passe par le dossier dédié. Cette règle a un effet concret sur le mode dégradé, qui n'aurait pas été implémentable si les appels avaient été dispersés.</w:t>
      </w:r>
    </w:p>
    <w:p>
      <w:pPr>
        <w:spacing w:before="0" w:after="80" w:line="312" w:lineRule="auto"/>
        <w:ind w:firstLine="397"/>
        <w:jc w:val="both"/>
      </w:pPr>
      <w:r>
        <w:rPr>
          <w:rFonts w:ascii="IBM Plex Serif" w:hAnsi="IBM Plex Serif" w:cs="IBM Plex Serif" w:eastAsia="IBM Plex Serif"/>
          <w:b w:val="0"/>
          <w:i w:val="0"/>
          <w:color w:val="1C1A17"/>
          <w:sz w:val="21"/>
        </w:rPr>
        <w:t>Le paquet de contrats partagés occupe une position particulière, entre le mobile et le serveur, importé par les deux. Il porte les schémas de validation, qui sont la source unique des types d'interface ; la taxonomie des pannes, dont l'ordre d'affichage constitue le tri automatique visible à l'écran ; le barème et les grades de fidélité ; les fonctions géométriques ; et le contrat du canal temps réel, y compris les noms d'événements. L'intérêt est qu'une divergence entre les deux extrémités ne produit pas un bogue à l'exécution mais une erreur de compilation.</w:t>
      </w:r>
    </w:p>
    <w:p>
      <w:pPr>
        <w:spacing w:before="0" w:after="80" w:line="312" w:lineRule="auto"/>
        <w:ind w:firstLine="397"/>
        <w:jc w:val="both"/>
      </w:pPr>
      <w:r>
        <w:rPr>
          <w:rFonts w:ascii="IBM Plex Serif" w:hAnsi="IBM Plex Serif" w:cs="IBM Plex Serif" w:eastAsia="IBM Plex Serif"/>
          <w:b w:val="0"/>
          <w:i w:val="0"/>
          <w:color w:val="1C1A17"/>
          <w:sz w:val="21"/>
        </w:rPr>
        <w:t>La couche métier est un serveur Express découpé par domaine et non par couche technique. Chaque domaine réunit ses routes, son service et son accès aux données dans un même dossier. Ce découpage a un effet mesurable sur le coût des évolutions : ajouter un niveau d'urgence à la demande d'assistance se fait dans un seul dossier, là où un découpage horizontal aurait imposé de toucher quatre répertoires pour un seul champ.</w:t>
      </w:r>
    </w:p>
    <w:p>
      <w:pPr>
        <w:spacing w:before="0" w:after="80" w:line="312" w:lineRule="auto"/>
        <w:ind w:firstLine="397"/>
        <w:jc w:val="both"/>
      </w:pPr>
      <w:r>
        <w:rPr>
          <w:rFonts w:ascii="IBM Plex Serif" w:hAnsi="IBM Plex Serif" w:cs="IBM Plex Serif" w:eastAsia="IBM Plex Serif"/>
          <w:b w:val="0"/>
          <w:i w:val="0"/>
          <w:color w:val="1C1A17"/>
          <w:sz w:val="21"/>
        </w:rPr>
        <w:t>La couche de données est un PostgreSQL enrichi de son extension géospatiale, hébergé sur une offre serverless. Les migrations sont des fichiers SQL écrits à la main, versionnés et exécutés dans l'ordre.</w:t>
      </w:r>
    </w:p>
    <w:p>
      <w:pPr>
        <w:spacing w:before="320" w:after="100"/>
        <w:keepNext w:val="1"/>
      </w:pPr>
      <w:r>
        <w:rPr>
          <w:rFonts w:ascii="IBM Plex Mono" w:hAnsi="IBM Plex Mono" w:cs="IBM Plex Mono" w:eastAsia="IBM Plex Mono"/>
          <w:b/>
          <w:i w:val="0"/>
          <w:color w:val="C62A26"/>
          <w:sz w:val="26"/>
        </w:rPr>
        <w:t xml:space="preserve">4.2   </w:t>
      </w:r>
      <w:r>
        <w:rPr>
          <w:rFonts w:ascii="Bebas Neue" w:hAnsi="Bebas Neue" w:cs="Bebas Neue" w:eastAsia="Bebas Neue"/>
          <w:b w:val="0"/>
          <w:i w:val="0"/>
          <w:color w:val="1C1A17"/>
          <w:sz w:val="36"/>
          <w:spacing w:val="10"/>
        </w:rPr>
        <w:t>Acteurs et droits</w:t>
      </w:r>
    </w:p>
    <w:p>
      <w:pPr>
        <w:spacing w:before="200" w:after="80"/>
        <w:keepNext w:val="1"/>
      </w:pPr>
      <w:r>
        <w:rPr>
          <w:rFonts w:ascii="IBM Plex Sans" w:hAnsi="IBM Plex Sans" w:cs="IBM Plex Sans" w:eastAsia="IBM Plex Sans"/>
          <w:b/>
          <w:i w:val="0"/>
          <w:color w:val="C62A26"/>
          <w:sz w:val="18"/>
        </w:rPr>
        <w:t xml:space="preserve">Tableau 3 — </w:t>
      </w:r>
      <w:r>
        <w:rPr>
          <w:rFonts w:ascii="IBM Plex Sans" w:hAnsi="IBM Plex Sans" w:cs="IBM Plex Sans" w:eastAsia="IBM Plex Sans"/>
          <w:b w:val="0"/>
          <w:i w:val="0"/>
          <w:color w:val="55514A"/>
          <w:sz w:val="18"/>
        </w:rPr>
        <w:t>Acteurs du système et opérations autorisées</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Acteur</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Opérations autorisées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Restrictions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Visiteur non authentifié</w:t>
            </w:r>
          </w:p>
        </w:tc>
        <w:tc>
          <w:tcPr>
            <w:tcW w:type="dxa" w:w="3099"/>
          </w:tcPr>
          <w:p>
            <w:pPr>
              <w:spacing w:before="60" w:after="60" w:line="269" w:lineRule="auto"/>
            </w:pPr>
            <w:r/>
            <w:r>
              <w:rPr>
                <w:rFonts w:ascii="IBM Plex Serif" w:hAnsi="IBM Plex Serif" w:cs="IBM Plex Serif" w:eastAsia="IBM Plex Serif"/>
                <w:b w:val="0"/>
                <w:i w:val="0"/>
                <w:color w:val="1C1A17"/>
                <w:sz w:val="18"/>
              </w:rPr>
              <w:t>Rechercher les garages à proximité, consulter une fiche et ses avis</w:t>
            </w:r>
          </w:p>
        </w:tc>
        <w:tc>
          <w:tcPr>
            <w:tcW w:type="dxa" w:w="3099"/>
          </w:tcPr>
          <w:p>
            <w:pPr>
              <w:spacing w:before="60" w:after="60" w:line="269" w:lineRule="auto"/>
            </w:pPr>
            <w:r/>
            <w:r>
              <w:rPr>
                <w:rFonts w:ascii="IBM Plex Serif" w:hAnsi="IBM Plex Serif" w:cs="IBM Plex Serif" w:eastAsia="IBM Plex Serif"/>
                <w:b w:val="0"/>
                <w:i w:val="0"/>
                <w:color w:val="1C1A17"/>
                <w:sz w:val="18"/>
              </w:rPr>
              <w:t>Aucune demande d'assistance, aucun avis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Client</w:t>
            </w:r>
          </w:p>
        </w:tc>
        <w:tc>
          <w:tcPr>
            <w:tcW w:type="dxa" w:w="3099"/>
          </w:tcPr>
          <w:p>
            <w:pPr>
              <w:spacing w:before="60" w:after="60" w:line="269" w:lineRule="auto"/>
            </w:pPr>
            <w:r/>
            <w:r>
              <w:rPr>
                <w:rFonts w:ascii="IBM Plex Serif" w:hAnsi="IBM Plex Serif" w:cs="IBM Plex Serif" w:eastAsia="IBM Plex Serif"/>
                <w:b w:val="0"/>
                <w:i w:val="0"/>
                <w:color w:val="1C1A17"/>
                <w:sz w:val="18"/>
              </w:rPr>
              <w:t>Toutes les opérations du visiteur, plus déclarer une panne, choisir un garage, suivre, confirmer son arrivée, annuler, publier un avis, gérer ses véhicules, consulter sa fidélité, utiliser le mode conduite</w:t>
            </w:r>
          </w:p>
        </w:tc>
        <w:tc>
          <w:tcPr>
            <w:tcW w:type="dxa" w:w="3099"/>
          </w:tcPr>
          <w:p>
            <w:pPr>
              <w:spacing w:before="60" w:after="60" w:line="269" w:lineRule="auto"/>
            </w:pPr>
            <w:r/>
            <w:r>
              <w:rPr>
                <w:rFonts w:ascii="IBM Plex Serif" w:hAnsi="IBM Plex Serif" w:cs="IBM Plex Serif" w:eastAsia="IBM Plex Serif"/>
                <w:b w:val="0"/>
                <w:i w:val="0"/>
                <w:color w:val="1C1A17"/>
                <w:sz w:val="18"/>
              </w:rPr>
              <w:t>Une seule demande active à la fois ; un avis par demande clôturée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Garagiste</w:t>
            </w:r>
          </w:p>
        </w:tc>
        <w:tc>
          <w:tcPr>
            <w:tcW w:type="dxa" w:w="3099"/>
          </w:tcPr>
          <w:p>
            <w:pPr>
              <w:spacing w:before="60" w:after="60" w:line="269" w:lineRule="auto"/>
            </w:pPr>
            <w:r/>
            <w:r>
              <w:rPr>
                <w:rFonts w:ascii="IBM Plex Serif" w:hAnsi="IBM Plex Serif" w:cs="IBM Plex Serif" w:eastAsia="IBM Plex Serif"/>
                <w:b w:val="0"/>
                <w:i w:val="0"/>
                <w:color w:val="1C1A17"/>
                <w:sz w:val="18"/>
              </w:rPr>
              <w:t>Toutes les opérations du client, plus recevoir les demandes qui lui sont adressées, accepter, refuser, se déclarer en route, confirmer son arrivée, gérer la fiche de son garage</w:t>
            </w:r>
          </w:p>
        </w:tc>
        <w:tc>
          <w:tcPr>
            <w:tcW w:type="dxa" w:w="3099"/>
          </w:tcPr>
          <w:p>
            <w:pPr>
              <w:spacing w:before="60" w:after="60" w:line="269" w:lineRule="auto"/>
            </w:pPr>
            <w:r/>
            <w:r>
              <w:rPr>
                <w:rFonts w:ascii="IBM Plex Serif" w:hAnsi="IBM Plex Serif" w:cs="IBM Plex Serif" w:eastAsia="IBM Plex Serif"/>
                <w:b w:val="0"/>
                <w:i w:val="0"/>
                <w:color w:val="1C1A17"/>
                <w:sz w:val="18"/>
              </w:rPr>
              <w:t>Un seul garage par compte ; garage inactif tant qu'il n'est pas vérifié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Administrateur</w:t>
            </w:r>
          </w:p>
        </w:tc>
        <w:tc>
          <w:tcPr>
            <w:tcW w:type="dxa" w:w="3099"/>
          </w:tcPr>
          <w:p>
            <w:pPr>
              <w:spacing w:before="60" w:after="60" w:line="269" w:lineRule="auto"/>
            </w:pPr>
            <w:r/>
            <w:r>
              <w:rPr>
                <w:rFonts w:ascii="IBM Plex Serif" w:hAnsi="IBM Plex Serif" w:cs="IBM Plex Serif" w:eastAsia="IBM Plex Serif"/>
                <w:b w:val="0"/>
                <w:i w:val="0"/>
                <w:color w:val="1C1A17"/>
                <w:sz w:val="18"/>
              </w:rPr>
              <w:t>Vérifier un dossier de garage, prononcer la certification</w:t>
            </w:r>
          </w:p>
        </w:tc>
        <w:tc>
          <w:tcPr>
            <w:tcW w:type="dxa" w:w="3099"/>
          </w:tcPr>
          <w:p>
            <w:pPr>
              <w:spacing w:before="60" w:after="60" w:line="269" w:lineRule="auto"/>
            </w:pPr>
            <w:r/>
            <w:r>
              <w:rPr>
                <w:rFonts w:ascii="IBM Plex Serif" w:hAnsi="IBM Plex Serif" w:cs="IBM Plex Serif" w:eastAsia="IBM Plex Serif"/>
                <w:b w:val="0"/>
                <w:i w:val="0"/>
                <w:color w:val="1C1A17"/>
                <w:sz w:val="18"/>
              </w:rPr>
              <w:t>La certification est distincte de la vérification</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Le fait que la recherche de garages soit ouverte sans authentification est un choix délibéré. Obliger quelqu'un à créer un compte avant de lui montrer les garages autour de lui reviendrait à lui demander de taper un mot de passe pendant que son véhicule est en panne. L'authentification n'est exigée qu'au moment où la demande d'assistance est réellement émise, c'est-à-dire au moment où l'on a besoin de savoir à qui l'on parle.</w:t>
      </w:r>
    </w:p>
    <w:p>
      <w:pPr>
        <w:spacing w:before="320" w:after="100"/>
        <w:keepNext w:val="1"/>
      </w:pPr>
      <w:r>
        <w:rPr>
          <w:rFonts w:ascii="IBM Plex Mono" w:hAnsi="IBM Plex Mono" w:cs="IBM Plex Mono" w:eastAsia="IBM Plex Mono"/>
          <w:b/>
          <w:i w:val="0"/>
          <w:color w:val="C62A26"/>
          <w:sz w:val="26"/>
        </w:rPr>
        <w:t xml:space="preserve">4.3   </w:t>
      </w:r>
      <w:r>
        <w:rPr>
          <w:rFonts w:ascii="Bebas Neue" w:hAnsi="Bebas Neue" w:cs="Bebas Neue" w:eastAsia="Bebas Neue"/>
          <w:b w:val="0"/>
          <w:i w:val="0"/>
          <w:color w:val="1C1A17"/>
          <w:sz w:val="36"/>
          <w:spacing w:val="10"/>
        </w:rPr>
        <w:t>Les deux modes de service</w:t>
      </w:r>
    </w:p>
    <w:p>
      <w:pPr>
        <w:spacing w:before="0" w:after="80" w:line="312" w:lineRule="auto"/>
        <w:ind w:firstLine="397"/>
        <w:jc w:val="both"/>
      </w:pPr>
      <w:r>
        <w:rPr>
          <w:rFonts w:ascii="IBM Plex Serif" w:hAnsi="IBM Plex Serif" w:cs="IBM Plex Serif" w:eastAsia="IBM Plex Serif"/>
          <w:b w:val="0"/>
          <w:i w:val="0"/>
          <w:color w:val="1C1A17"/>
          <w:sz w:val="21"/>
        </w:rPr>
        <w:t>Un dépannage se déroule dans deux sens, et le produit n'en a longtemps connu qu'un seul. Ou bien le garagiste sort son véhicule et se rend sur le lieu de la panne, ou bien le véhicule roule encore et c'est le client qui conduit jusqu'à l'atelier. Le premier cas est le cas fondateur, celui de quelqu'un immobilisé au bord d'une route. Le second existait déjà dans la réalité — un voyant, un bruit, un frein qui mollit — mais n'existait nulle part dans les données.</w:t>
      </w:r>
    </w:p>
    <w:p>
      <w:pPr>
        <w:spacing w:before="200" w:after="80"/>
        <w:jc w:val="center"/>
      </w:pPr>
      <w:r>
        <w:drawing>
          <wp:inline xmlns:a="http://schemas.openxmlformats.org/drawingml/2006/main" xmlns:pic="http://schemas.openxmlformats.org/drawingml/2006/picture">
            <wp:extent cx="5904000" cy="3297157"/>
            <wp:docPr id="3" name="Picture 3"/>
            <wp:cNvGraphicFramePr>
              <a:graphicFrameLocks noChangeAspect="1"/>
            </wp:cNvGraphicFramePr>
            <a:graphic>
              <a:graphicData uri="http://schemas.openxmlformats.org/drawingml/2006/picture">
                <pic:pic>
                  <pic:nvPicPr>
                    <pic:cNvPr id="0" name="09-modes-service.png"/>
                    <pic:cNvPicPr/>
                  </pic:nvPicPr>
                  <pic:blipFill>
                    <a:blip r:embed="rId11"/>
                    <a:stretch>
                      <a:fillRect/>
                    </a:stretch>
                  </pic:blipFill>
                  <pic:spPr>
                    <a:xfrm>
                      <a:off x="0" y="0"/>
                      <a:ext cx="5904000" cy="3297157"/>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2 — </w:t>
      </w:r>
      <w:r>
        <w:rPr>
          <w:rFonts w:ascii="IBM Plex Sans" w:hAnsi="IBM Plex Sans" w:cs="IBM Plex Sans" w:eastAsia="IBM Plex Sans"/>
          <w:b w:val="0"/>
          <w:i w:val="0"/>
          <w:color w:val="55514A"/>
          <w:sz w:val="18"/>
        </w:rPr>
        <w:t>Les deux modes de service : un mode est une géométrie, c'est-à-dire un couple</w:t>
      </w:r>
    </w:p>
    <w:p>
      <w:pPr>
        <w:spacing w:before="0" w:after="80" w:line="312" w:lineRule="auto"/>
        <w:ind w:firstLine="397"/>
        <w:jc w:val="both"/>
      </w:pPr>
      <w:r>
        <w:rPr>
          <w:rFonts w:ascii="IBM Plex Serif" w:hAnsi="IBM Plex Serif" w:cs="IBM Plex Serif" w:eastAsia="IBM Plex Serif"/>
          <w:b w:val="0"/>
          <w:i w:val="0"/>
          <w:color w:val="1C1A17"/>
          <w:sz w:val="21"/>
        </w:rPr>
        <w:t>Ce n'est pas une distinction cosmétique. GeoCras se rémunère en apportant des clients aux garages, et pour facturer il faut pouvoir affirmer sans discussion qu'un client a bien été apporté. Cette affirmation ne repose pas sur un bouton, que le garage pourrait refuser d'appuyer, mais sur la trace de celui qui s'est déplacé. Or dans le second cas le garagiste ne bouge pas : sa trace est vide. À ne lire que la sienne, chaque client réellement venu à l'atelier serait compté comme un déplacement qui n'a pas eu lieu.</w:t>
      </w:r>
    </w:p>
    <w:p>
      <w:pPr>
        <w:spacing w:before="0" w:after="80" w:line="312" w:lineRule="auto"/>
        <w:ind w:firstLine="397"/>
        <w:jc w:val="both"/>
      </w:pPr>
      <w:r>
        <w:rPr>
          <w:rFonts w:ascii="IBM Plex Serif" w:hAnsi="IBM Plex Serif" w:cs="IBM Plex Serif" w:eastAsia="IBM Plex Serif"/>
          <w:b w:val="0"/>
          <w:i w:val="0"/>
          <w:color w:val="1C1A17"/>
          <w:sz w:val="21"/>
        </w:rPr>
        <w:t xml:space="preserve">L'idée qui règle le problème tient en une phrase : </w:t>
      </w:r>
      <w:r>
        <w:rPr>
          <w:rFonts w:ascii="IBM Plex Serif" w:hAnsi="IBM Plex Serif" w:cs="IBM Plex Serif" w:eastAsia="IBM Plex Serif"/>
          <w:b/>
          <w:i w:val="0"/>
          <w:color w:val="1C1A17"/>
          <w:sz w:val="21"/>
        </w:rPr>
        <w:t>un mode de service est une géométrie</w:t>
      </w:r>
      <w:r>
        <w:rPr>
          <w:rFonts w:ascii="IBM Plex Serif" w:hAnsi="IBM Plex Serif" w:cs="IBM Plex Serif" w:eastAsia="IBM Plex Serif"/>
          <w:b w:val="0"/>
          <w:i w:val="0"/>
          <w:color w:val="1C1A17"/>
          <w:sz w:val="21"/>
        </w:rPr>
        <w:t>, c'est-à-dire un couple formé de celui qui se déplace et du point vers lequel il se déplace. Une fois ce couple connu, rien d'autre ne change, parce que la question posée reste la même dans les deux cas — quelqu'un a-t-il réellement fait un trajet, et s'est-il arrêté au bout ?</w:t>
      </w:r>
    </w:p>
    <w:p>
      <w:pPr>
        <w:spacing w:before="200" w:after="80"/>
        <w:keepNext w:val="1"/>
      </w:pPr>
      <w:r>
        <w:rPr>
          <w:rFonts w:ascii="IBM Plex Sans" w:hAnsi="IBM Plex Sans" w:cs="IBM Plex Sans" w:eastAsia="IBM Plex Sans"/>
          <w:b/>
          <w:i w:val="0"/>
          <w:color w:val="C62A26"/>
          <w:sz w:val="18"/>
        </w:rPr>
        <w:t xml:space="preserve">Tableau 4 — </w:t>
      </w:r>
      <w:r>
        <w:rPr>
          <w:rFonts w:ascii="IBM Plex Sans" w:hAnsi="IBM Plex Sans" w:cs="IBM Plex Sans" w:eastAsia="IBM Plex Sans"/>
          <w:b w:val="0"/>
          <w:i w:val="0"/>
          <w:color w:val="55514A"/>
          <w:sz w:val="18"/>
        </w:rPr>
        <w:t>Les deux modes et leur géométrie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2324"/>
        <w:gridCol w:w="2324"/>
        <w:gridCol w:w="2324"/>
        <w:gridCol w:w="2324"/>
      </w:tblGrid>
      <w:tr>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Mode</w:t>
            </w:r>
          </w:p>
        </w:tc>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Situation</w:t>
            </w:r>
          </w:p>
        </w:tc>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Qui se déplace</w:t>
            </w:r>
          </w:p>
        </w:tc>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Vers quel point</w:t>
            </w:r>
          </w:p>
        </w:tc>
      </w:tr>
      <w:tr>
        <w:tc>
          <w:tcPr>
            <w:tcW w:type="dxa" w:w="2324"/>
          </w:tcPr>
          <w:p>
            <w:pPr>
              <w:spacing w:before="60" w:after="60" w:line="269" w:lineRule="auto"/>
            </w:pPr>
            <w:r/>
            <w:r>
              <w:rPr>
                <w:rFonts w:ascii="IBM Plex Mono" w:hAnsi="IBM Plex Mono" w:cs="IBM Plex Mono" w:eastAsia="IBM Plex Mono"/>
                <w:b w:val="0"/>
                <w:i w:val="0"/>
                <w:color w:val="55514A"/>
                <w:sz w:val="16"/>
              </w:rPr>
              <w:t>on_site</w:t>
            </w:r>
          </w:p>
        </w:tc>
        <w:tc>
          <w:tcPr>
            <w:tcW w:type="dxa" w:w="2324"/>
          </w:tcPr>
          <w:p>
            <w:pPr>
              <w:spacing w:before="60" w:after="60" w:line="269" w:lineRule="auto"/>
            </w:pPr>
            <w:r/>
            <w:r>
              <w:rPr>
                <w:rFonts w:ascii="IBM Plex Serif" w:hAnsi="IBM Plex Serif" w:cs="IBM Plex Serif" w:eastAsia="IBM Plex Serif"/>
                <w:b w:val="0"/>
                <w:i w:val="0"/>
                <w:color w:val="1C1A17"/>
                <w:sz w:val="18"/>
              </w:rPr>
              <w:t>Le véhicule ne roule plus</w:t>
            </w:r>
          </w:p>
        </w:tc>
        <w:tc>
          <w:tcPr>
            <w:tcW w:type="dxa" w:w="2324"/>
          </w:tcPr>
          <w:p>
            <w:pPr>
              <w:spacing w:before="60" w:after="60" w:line="269" w:lineRule="auto"/>
            </w:pPr>
            <w:r/>
            <w:r>
              <w:rPr>
                <w:rFonts w:ascii="IBM Plex Serif" w:hAnsi="IBM Plex Serif" w:cs="IBM Plex Serif" w:eastAsia="IBM Plex Serif"/>
                <w:b w:val="0"/>
                <w:i w:val="0"/>
                <w:color w:val="1C1A17"/>
                <w:sz w:val="18"/>
              </w:rPr>
              <w:t>Le garage</w:t>
            </w:r>
          </w:p>
        </w:tc>
        <w:tc>
          <w:tcPr>
            <w:tcW w:type="dxa" w:w="2324"/>
          </w:tcPr>
          <w:p>
            <w:pPr>
              <w:spacing w:before="60" w:after="60" w:line="269" w:lineRule="auto"/>
            </w:pPr>
            <w:r/>
            <w:r>
              <w:rPr>
                <w:rFonts w:ascii="IBM Plex Serif" w:hAnsi="IBM Plex Serif" w:cs="IBM Plex Serif" w:eastAsia="IBM Plex Serif"/>
                <w:b w:val="0"/>
                <w:i w:val="0"/>
                <w:color w:val="1C1A17"/>
                <w:sz w:val="18"/>
              </w:rPr>
              <w:t>Le lieu de la panne</w:t>
            </w:r>
          </w:p>
        </w:tc>
      </w:tr>
      <w:tr>
        <w:tc>
          <w:tcPr>
            <w:tcW w:type="dxa" w:w="2324"/>
          </w:tcPr>
          <w:p>
            <w:pPr>
              <w:spacing w:before="60" w:after="60" w:line="269" w:lineRule="auto"/>
            </w:pPr>
            <w:r/>
            <w:r>
              <w:rPr>
                <w:rFonts w:ascii="IBM Plex Mono" w:hAnsi="IBM Plex Mono" w:cs="IBM Plex Mono" w:eastAsia="IBM Plex Mono"/>
                <w:b w:val="0"/>
                <w:i w:val="0"/>
                <w:color w:val="55514A"/>
                <w:sz w:val="16"/>
              </w:rPr>
              <w:t>at_garage</w:t>
            </w:r>
          </w:p>
        </w:tc>
        <w:tc>
          <w:tcPr>
            <w:tcW w:type="dxa" w:w="2324"/>
          </w:tcPr>
          <w:p>
            <w:pPr>
              <w:spacing w:before="60" w:after="60" w:line="269" w:lineRule="auto"/>
            </w:pPr>
            <w:r/>
            <w:r>
              <w:rPr>
                <w:rFonts w:ascii="IBM Plex Serif" w:hAnsi="IBM Plex Serif" w:cs="IBM Plex Serif" w:eastAsia="IBM Plex Serif"/>
                <w:b w:val="0"/>
                <w:i w:val="0"/>
                <w:color w:val="1C1A17"/>
                <w:sz w:val="18"/>
              </w:rPr>
              <w:t>Le véhicule roule encore</w:t>
            </w:r>
          </w:p>
        </w:tc>
        <w:tc>
          <w:tcPr>
            <w:tcW w:type="dxa" w:w="2324"/>
          </w:tcPr>
          <w:p>
            <w:pPr>
              <w:spacing w:before="60" w:after="60" w:line="269" w:lineRule="auto"/>
            </w:pPr>
            <w:r/>
            <w:r>
              <w:rPr>
                <w:rFonts w:ascii="IBM Plex Serif" w:hAnsi="IBM Plex Serif" w:cs="IBM Plex Serif" w:eastAsia="IBM Plex Serif"/>
                <w:b w:val="0"/>
                <w:i w:val="0"/>
                <w:color w:val="1C1A17"/>
                <w:sz w:val="18"/>
              </w:rPr>
              <w:t>Le client</w:t>
            </w:r>
          </w:p>
        </w:tc>
        <w:tc>
          <w:tcPr>
            <w:tcW w:type="dxa" w:w="2324"/>
          </w:tcPr>
          <w:p>
            <w:pPr>
              <w:spacing w:before="60" w:after="60" w:line="269" w:lineRule="auto"/>
            </w:pPr>
            <w:r/>
            <w:r>
              <w:rPr>
                <w:rFonts w:ascii="IBM Plex Serif" w:hAnsi="IBM Plex Serif" w:cs="IBM Plex Serif" w:eastAsia="IBM Plex Serif"/>
                <w:b w:val="0"/>
                <w:i w:val="0"/>
                <w:color w:val="1C1A17"/>
                <w:sz w:val="18"/>
              </w:rPr>
              <w:t>L'adresse de l'atelier</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Le mode est choisi par le client au moment où il déclare sa panne — lui seul sait si son véhicule peut encore rouler — et il n'est plus modifiable ensuite. Il est écrit deux fois : dans une colonne, qui décrit l'état courant, et dans le journal des événements, qui est en ajout seul. Le jour où une commission sera contestée, c'est la ligne du journal qui dira ce qui avait été convenu au départ. Une colonne seule est une affirmation ; une colonne doublée de son événement fondateur est une preuve.</w:t>
      </w:r>
    </w:p>
    <w:p>
      <w:pPr>
        <w:spacing w:before="0" w:after="80" w:line="312" w:lineRule="auto"/>
        <w:ind w:firstLine="397"/>
        <w:jc w:val="both"/>
      </w:pPr>
      <w:r>
        <w:rPr>
          <w:rFonts w:ascii="IBM Plex Serif" w:hAnsi="IBM Plex Serif" w:cs="IBM Plex Serif" w:eastAsia="IBM Plex Serif"/>
          <w:b w:val="0"/>
          <w:i w:val="0"/>
          <w:color w:val="1C1A17"/>
          <w:sz w:val="21"/>
        </w:rPr>
        <w:t>Une règle ne se négocie pas : un véhicule immobilisé ne conduit personne nulle part. Le formulaire demande déjà si le véhicule est immobilisé ; si la réponse est oui, le mode « je vais au garage » devient impossible. Cette règle est tenue à trois endroits, et les trois sont utiles. L'écran n'offre pas l'option, ce qui protège l'utilisateur d'une erreur. Le contrat partagé refuse la demande, ce qui protège le serveur d'un client modifié. Et la base refuse la ligne, ce qui nous protège nous-mêmes d'un futur script d'import ou d'une reprise de données.</w:t>
      </w:r>
    </w:p>
    <w:p>
      <w:pPr>
        <w:spacing w:before="0" w:after="80" w:line="312" w:lineRule="auto"/>
        <w:ind w:firstLine="397"/>
        <w:jc w:val="both"/>
      </w:pPr>
      <w:r>
        <w:rPr>
          <w:rFonts w:ascii="IBM Plex Serif" w:hAnsi="IBM Plex Serif" w:cs="IBM Plex Serif" w:eastAsia="IBM Plex Serif"/>
          <w:b w:val="0"/>
          <w:i w:val="0"/>
          <w:color w:val="1C1A17"/>
          <w:sz w:val="21"/>
        </w:rPr>
        <w:t>Enfin, la machine à états ne gagne aucun état. Ce qui change, c'est à qui appartient la transition de départ : elle appartient à celui qui se déplace, et le serveur le vérifie. La raison est mesurable — l'horodatage de départ ouvre la fenêtre de lecture de la trace, et un garagiste qui le poserait sur une demande où c'est le client qui conduit démarrerait le chronomètre de quelqu'un d'autre, au mieux trop tôt, au pire après l'arrivée, ce qui effacerait la trace entière d'un trajet réel.</w:t>
      </w:r>
    </w:p>
    <w:p>
      <w:pPr>
        <w:spacing w:before="320" w:after="100"/>
        <w:keepNext w:val="1"/>
      </w:pPr>
      <w:r>
        <w:rPr>
          <w:rFonts w:ascii="IBM Plex Mono" w:hAnsi="IBM Plex Mono" w:cs="IBM Plex Mono" w:eastAsia="IBM Plex Mono"/>
          <w:b/>
          <w:i w:val="0"/>
          <w:color w:val="C62A26"/>
          <w:sz w:val="26"/>
        </w:rPr>
        <w:t xml:space="preserve">4.4   </w:t>
      </w:r>
      <w:r>
        <w:rPr>
          <w:rFonts w:ascii="Bebas Neue" w:hAnsi="Bebas Neue" w:cs="Bebas Neue" w:eastAsia="Bebas Neue"/>
          <w:b w:val="0"/>
          <w:i w:val="0"/>
          <w:color w:val="1C1A17"/>
          <w:sz w:val="36"/>
          <w:spacing w:val="10"/>
        </w:rPr>
        <w:t>Diagramme de cas d'utilisation</w:t>
      </w:r>
    </w:p>
    <w:p>
      <w:pPr>
        <w:spacing w:before="200" w:after="80"/>
        <w:jc w:val="center"/>
      </w:pPr>
      <w:r>
        <w:drawing>
          <wp:inline xmlns:a="http://schemas.openxmlformats.org/drawingml/2006/main" xmlns:pic="http://schemas.openxmlformats.org/drawingml/2006/picture">
            <wp:extent cx="5904000" cy="4155508"/>
            <wp:docPr id="4" name="Picture 4"/>
            <wp:cNvGraphicFramePr>
              <a:graphicFrameLocks noChangeAspect="1"/>
            </wp:cNvGraphicFramePr>
            <a:graphic>
              <a:graphicData uri="http://schemas.openxmlformats.org/drawingml/2006/picture">
                <pic:pic>
                  <pic:nvPicPr>
                    <pic:cNvPr id="0" name="02-cas-utilisation.png"/>
                    <pic:cNvPicPr/>
                  </pic:nvPicPr>
                  <pic:blipFill>
                    <a:blip r:embed="rId12"/>
                    <a:stretch>
                      <a:fillRect/>
                    </a:stretch>
                  </pic:blipFill>
                  <pic:spPr>
                    <a:xfrm>
                      <a:off x="0" y="0"/>
                      <a:ext cx="5904000" cy="4155508"/>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3 — </w:t>
      </w:r>
      <w:r>
        <w:rPr>
          <w:rFonts w:ascii="IBM Plex Sans" w:hAnsi="IBM Plex Sans" w:cs="IBM Plex Sans" w:eastAsia="IBM Plex Sans"/>
          <w:b w:val="0"/>
          <w:i w:val="0"/>
          <w:color w:val="55514A"/>
          <w:sz w:val="18"/>
        </w:rPr>
        <w:t>Diagramme de cas d'utilisation : acteurs, paquets fonctionnels et relations d'inclusion et d'extension</w:t>
      </w:r>
    </w:p>
    <w:p>
      <w:pPr>
        <w:spacing w:before="0" w:after="80" w:line="312" w:lineRule="auto"/>
        <w:ind w:firstLine="397"/>
        <w:jc w:val="both"/>
      </w:pPr>
      <w:r>
        <w:rPr>
          <w:rFonts w:ascii="IBM Plex Serif" w:hAnsi="IBM Plex Serif" w:cs="IBM Plex Serif" w:eastAsia="IBM Plex Serif"/>
          <w:b w:val="0"/>
          <w:i w:val="0"/>
          <w:color w:val="1C1A17"/>
          <w:sz w:val="21"/>
        </w:rPr>
        <w:t>Le diagramme fait apparaître trois structures qu'il vaut la peine de commenter.</w:t>
      </w:r>
    </w:p>
    <w:p>
      <w:pPr>
        <w:spacing w:before="0" w:after="80" w:line="312" w:lineRule="auto"/>
        <w:ind w:firstLine="397"/>
        <w:jc w:val="both"/>
      </w:pPr>
      <w:r>
        <w:rPr>
          <w:rFonts w:ascii="IBM Plex Serif" w:hAnsi="IBM Plex Serif" w:cs="IBM Plex Serif" w:eastAsia="IBM Plex Serif"/>
          <w:b w:val="0"/>
          <w:i w:val="0"/>
          <w:color w:val="1C1A17"/>
          <w:sz w:val="21"/>
        </w:rPr>
        <w:t>Les relations d'inclusion traduisent des dépendances obligatoires. Déclarer une panne inclut se localiser automatiquement : il n'existe pas de chemin où l'on ouvre le formulaire de panne sans que l'acquisition de position ait été tentée. De même, choisir un garage inclut le suivi de l'intervention, parce que le choix bascule immédiatement l'écran vers l'attente puis vers le suivi, sans étape intermédiaire où l'utilisateur devrait décider d'ouvrir un suivi.</w:t>
      </w:r>
    </w:p>
    <w:p>
      <w:pPr>
        <w:spacing w:before="0" w:after="80" w:line="312" w:lineRule="auto"/>
        <w:ind w:firstLine="397"/>
        <w:jc w:val="both"/>
      </w:pPr>
      <w:r>
        <w:rPr>
          <w:rFonts w:ascii="IBM Plex Serif" w:hAnsi="IBM Plex Serif" w:cs="IBM Plex Serif" w:eastAsia="IBM Plex Serif"/>
          <w:b w:val="0"/>
          <w:i w:val="0"/>
          <w:color w:val="1C1A17"/>
          <w:sz w:val="21"/>
        </w:rPr>
        <w:t>Les relations d'extension traduisent des comportements conditionnels. Publier un avis étend la confirmation d'arrivée : l'avis n'est possible que si l'intervention a été clôturée, et la clôture n'est possible que si les deux parties ont confirmé. La consultation des points étend également la confirmation, parce que c'est elle qui déclenche le crédit.</w:t>
      </w:r>
    </w:p>
    <w:p>
      <w:pPr>
        <w:spacing w:before="0" w:after="80" w:line="312" w:lineRule="auto"/>
        <w:ind w:firstLine="397"/>
        <w:jc w:val="both"/>
      </w:pPr>
      <w:r>
        <w:rPr>
          <w:rFonts w:ascii="IBM Plex Serif" w:hAnsi="IBM Plex Serif" w:cs="IBM Plex Serif" w:eastAsia="IBM Plex Serif"/>
          <w:b w:val="0"/>
          <w:i w:val="0"/>
          <w:color w:val="1C1A17"/>
          <w:sz w:val="21"/>
        </w:rPr>
        <w:t>Enfin, la confirmation d'arrivée est le seul cas d'utilisation associé aux deux acteurs opérationnels. Cette symétrie n'est pas cosmétique : elle est la traduction, au niveau des cas d'utilisation, de la règle qui fonde toute la chaîne de confiance.</w:t>
      </w:r>
    </w:p>
    <w:p>
      <w:pPr>
        <w:pageBreakBefore w:val="1"/>
        <w:spacing w:before="0" w:after="40"/>
      </w:pPr>
      <w:r>
        <w:rPr>
          <w:rFonts w:ascii="Bebas Neue" w:hAnsi="Bebas Neue" w:cs="Bebas Neue" w:eastAsia="Bebas Neue"/>
          <w:b w:val="0"/>
          <w:i w:val="0"/>
          <w:color w:val="C62A26"/>
          <w:sz w:val="22"/>
          <w:spacing w:val="38"/>
        </w:rPr>
        <w:t>CHAPITRE 5</w:t>
      </w:r>
    </w:p>
    <w:p>
      <w:pPr>
        <w:spacing w:after="320"/>
        <w:pBdr>
          <w:bottom w:val="single" w:sz="10" w:space="8" w:color="C62A26"/>
        </w:pBdr>
        <w:keepNext w:val="1"/>
      </w:pPr>
      <w:r>
        <w:rPr>
          <w:rFonts w:ascii="Bebas Neue" w:hAnsi="Bebas Neue" w:cs="Bebas Neue" w:eastAsia="Bebas Neue"/>
          <w:b w:val="0"/>
          <w:i w:val="0"/>
          <w:color w:val="1C1A17"/>
          <w:sz w:val="54"/>
          <w:spacing w:val="10"/>
        </w:rPr>
        <w:t>Description des cas d'utilisation</w:t>
      </w:r>
    </w:p>
    <w:p>
      <w:pPr>
        <w:spacing w:before="0" w:after="80" w:line="312" w:lineRule="auto"/>
        <w:ind w:firstLine="397"/>
        <w:jc w:val="both"/>
      </w:pPr>
      <w:r>
        <w:rPr>
          <w:rFonts w:ascii="IBM Plex Serif" w:hAnsi="IBM Plex Serif" w:cs="IBM Plex Serif" w:eastAsia="IBM Plex Serif"/>
          <w:b w:val="0"/>
          <w:i w:val="0"/>
          <w:color w:val="1C1A17"/>
          <w:sz w:val="21"/>
        </w:rPr>
        <w:t>Ce chapitre décrit chaque cas d'utilisation du système sous la forme d'une fiche normalisée. Chaque fiche porte les mêmes rubriques — identification, acteurs, préconditions, déclencheur, scénario nominal, scénarios alternatifs, scénarios d'erreur, postconditions, règles de gestion et exigences associées — de manière à ce que deux cas se comparent sans avoir à les relire en entier.</w:t>
      </w:r>
    </w:p>
    <w:p>
      <w:pPr>
        <w:spacing w:before="0" w:after="80" w:line="312" w:lineRule="auto"/>
        <w:ind w:firstLine="397"/>
        <w:jc w:val="both"/>
      </w:pPr>
      <w:r>
        <w:rPr>
          <w:rFonts w:ascii="IBM Plex Serif" w:hAnsi="IBM Plex Serif" w:cs="IBM Plex Serif" w:eastAsia="IBM Plex Serif"/>
          <w:b w:val="0"/>
          <w:i w:val="0"/>
          <w:color w:val="1C1A17"/>
          <w:sz w:val="21"/>
        </w:rPr>
        <w:t>Une convention de lecture s'impose d'emblée. Les préconditions sont les états du monde qui doivent être vrais pour que le cas puisse commencer ; le système ne les vérifie pas nécessairement, il les suppose. Les règles de gestion, elles, sont vérifiées : chacune de celles qui touchent à l'argent ou à la preuve est adossée à une contrainte de base de données, et la fiche le signale.</w:t>
      </w:r>
    </w:p>
    <w:p>
      <w:pPr>
        <w:spacing w:before="320" w:after="100"/>
        <w:keepNext w:val="1"/>
      </w:pPr>
      <w:r>
        <w:rPr>
          <w:rFonts w:ascii="IBM Plex Mono" w:hAnsi="IBM Plex Mono" w:cs="IBM Plex Mono" w:eastAsia="IBM Plex Mono"/>
          <w:b/>
          <w:i w:val="0"/>
          <w:color w:val="C62A26"/>
          <w:sz w:val="26"/>
        </w:rPr>
        <w:t xml:space="preserve">5.1   </w:t>
      </w:r>
      <w:r>
        <w:rPr>
          <w:rFonts w:ascii="Bebas Neue" w:hAnsi="Bebas Neue" w:cs="Bebas Neue" w:eastAsia="Bebas Neue"/>
          <w:b w:val="0"/>
          <w:i w:val="0"/>
          <w:color w:val="1C1A17"/>
          <w:sz w:val="36"/>
          <w:spacing w:val="10"/>
        </w:rPr>
        <w:t>UC-01 — S'inscrire et se connecter</w:t>
      </w:r>
    </w:p>
    <w:p>
      <w:pPr>
        <w:spacing w:before="200" w:after="80"/>
        <w:keepNext w:val="1"/>
      </w:pPr>
      <w:r>
        <w:rPr>
          <w:rFonts w:ascii="IBM Plex Sans" w:hAnsi="IBM Plex Sans" w:cs="IBM Plex Sans" w:eastAsia="IBM Plex Sans"/>
          <w:b/>
          <w:i w:val="0"/>
          <w:color w:val="C62A26"/>
          <w:sz w:val="18"/>
        </w:rPr>
        <w:t xml:space="preserve">Tableau 5 — </w:t>
      </w:r>
      <w:r>
        <w:rPr>
          <w:rFonts w:ascii="IBM Plex Sans" w:hAnsi="IBM Plex Sans" w:cs="IBM Plex Sans" w:eastAsia="IBM Plex Sans"/>
          <w:b w:val="0"/>
          <w:i w:val="0"/>
          <w:color w:val="55514A"/>
          <w:sz w:val="18"/>
        </w:rPr>
        <w:t>Fiche du cas d'utilisation UC-01</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Permettre à une personne de disposer d'un compte et d'ouvrir une session authentifiée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 Garagiste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Aucun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et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La personne dispose d'un numéro de téléphone valide et d'une connexion réseau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 personne ouvre l'écran de connexion, ou tente une action exigeant une identité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Un compte existe, une session est ouverte, un jeton d'accès et un jeton de rafraîchissement sont stockés de façon sécurisée sur l'appareil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Aucun compte n'est créé, aucune session n'est ouverte, l'état antérieur est inchangé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Une fois à l'inscription, puis à chaque expiration de session</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La personne saisit son numéro de téléphone, son nom complet et un mot de passe.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système valide la forme des données au moyen du schéma partagé, avant tout appel réseau.</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système vérifie que le numéro n'est pas déjà rattaché à un compte.</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système enregistre le compte, produit un code de parrainage unique et hache le mot de passe.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Le système émet un jeton d'accès de courte durée et un jeton de rafraîchissement, dont seule l'empreinte est conservée en base.</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val="0"/>
          <w:i w:val="0"/>
          <w:color w:val="1C1A17"/>
          <w:sz w:val="20"/>
        </w:rPr>
        <w:t>L'application stocke les deux jetons dans le coffre sécurisé du système d'exploitation et ouvre l'écran Carte.</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Le compte existe déjà.</w:t>
      </w:r>
      <w:r>
        <w:rPr>
          <w:rFonts w:ascii="IBM Plex Serif" w:hAnsi="IBM Plex Serif" w:cs="IBM Plex Serif" w:eastAsia="IBM Plex Serif"/>
          <w:b w:val="0"/>
          <w:i w:val="0"/>
          <w:color w:val="1C1A17"/>
          <w:sz w:val="21"/>
        </w:rPr>
        <w:t xml:space="preserve"> À l'étape 3, si le numéro est connu, le système bascule sur le formulaire de connexion en conservant le numéro saisi, plutôt que de rejeter la demande.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Session expirée en cours d'usage.</w:t>
      </w:r>
      <w:r>
        <w:rPr>
          <w:rFonts w:ascii="IBM Plex Serif" w:hAnsi="IBM Plex Serif" w:cs="IBM Plex Serif" w:eastAsia="IBM Plex Serif"/>
          <w:b w:val="0"/>
          <w:i w:val="0"/>
          <w:color w:val="1C1A17"/>
          <w:sz w:val="21"/>
        </w:rPr>
        <w:t xml:space="preserve"> Le jeton d'accès expire pendant une action. L'application présente le jeton de rafraîchissement, obtient une nouvelle paire, et rejoue l'action interrompue sans que l'utilisateur en soit informé.</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Consultation sans compte.</w:t>
      </w:r>
      <w:r>
        <w:rPr>
          <w:rFonts w:ascii="IBM Plex Serif" w:hAnsi="IBM Plex Serif" w:cs="IBM Plex Serif" w:eastAsia="IBM Plex Serif"/>
          <w:b w:val="0"/>
          <w:i w:val="0"/>
          <w:color w:val="1C1A17"/>
          <w:sz w:val="21"/>
        </w:rPr>
        <w:t xml:space="preserve"> La recherche de garages et la lecture des fiches n'exigent aucune identité. Le cas d'utilisation n'est déclenché qu'au moment d'émettre une demande d'assistance.</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Données invalides.</w:t>
      </w:r>
      <w:r>
        <w:rPr>
          <w:rFonts w:ascii="IBM Plex Serif" w:hAnsi="IBM Plex Serif" w:cs="IBM Plex Serif" w:eastAsia="IBM Plex Serif"/>
          <w:b w:val="0"/>
          <w:i w:val="0"/>
          <w:color w:val="1C1A17"/>
          <w:sz w:val="21"/>
        </w:rPr>
        <w:t xml:space="preserve"> Le schéma partagé rejette la saisie. Le champ fautif est signalé sur place ; aucun appel réseau n'a lieu.</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Identifiants incorrects.</w:t>
      </w:r>
      <w:r>
        <w:rPr>
          <w:rFonts w:ascii="IBM Plex Serif" w:hAnsi="IBM Plex Serif" w:cs="IBM Plex Serif" w:eastAsia="IBM Plex Serif"/>
          <w:b w:val="0"/>
          <w:i w:val="0"/>
          <w:color w:val="1C1A17"/>
          <w:sz w:val="21"/>
        </w:rPr>
        <w:t xml:space="preserve"> Le système renvoie un code d'erreur générique, sans préciser si c'est le numéro ou le mot de passe qui est en cause, afin de ne pas confirmer l'existence d'un compte.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Jeton de rafraîchissement révoqué ou expiré.</w:t>
      </w:r>
      <w:r>
        <w:rPr>
          <w:rFonts w:ascii="IBM Plex Serif" w:hAnsi="IBM Plex Serif" w:cs="IBM Plex Serif" w:eastAsia="IBM Plex Serif"/>
          <w:b w:val="0"/>
          <w:i w:val="0"/>
          <w:color w:val="1C1A17"/>
          <w:sz w:val="21"/>
        </w:rPr>
        <w:t xml:space="preserve"> La session est fermée, les jetons sont effacés de l'appareil, et l'écran de connexion est présenté avec un message explicite.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E4 — Réseau indisponible.</w:t>
      </w:r>
      <w:r>
        <w:rPr>
          <w:rFonts w:ascii="IBM Plex Serif" w:hAnsi="IBM Plex Serif" w:cs="IBM Plex Serif" w:eastAsia="IBM Plex Serif"/>
          <w:b w:val="0"/>
          <w:i w:val="0"/>
          <w:color w:val="1C1A17"/>
          <w:sz w:val="21"/>
        </w:rPr>
        <w:t xml:space="preserve"> La requête est mise en file d'attente avec réessai ; passé le délai, un message invite à réessayer et l'application reste utilisable en consultation.</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Le numéro de téléphone est l'identifiant principal, et il est unique — contrainte </w:t>
      </w:r>
      <w:r>
        <w:rPr>
          <w:rFonts w:ascii="IBM Plex Mono" w:hAnsi="IBM Plex Mono" w:cs="IBM Plex Mono" w:eastAsia="IBM Plex Mono"/>
          <w:b w:val="0"/>
          <w:i w:val="0"/>
          <w:color w:val="55514A"/>
          <w:sz w:val="18"/>
        </w:rPr>
        <w:t>phone UNIQUE</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mot de passe n'est jamais stocké en clair, ni transmis à un tiers.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jeton de rafraîchissement est opaque et n'existe en base que sous forme d'empreinte : une fuite de la table ne donne aucune session utilisable.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Chaque usage du jeton de rafraîchissement produit une nouvelle paire et révoque la précédente.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 compte ne peut pas se parrainer lui-même — contrainte </w:t>
      </w:r>
      <w:r>
        <w:rPr>
          <w:rFonts w:ascii="IBM Plex Mono" w:hAnsi="IBM Plex Mono" w:cs="IBM Plex Mono" w:eastAsia="IBM Plex Mono"/>
          <w:b w:val="0"/>
          <w:i w:val="0"/>
          <w:color w:val="55514A"/>
          <w:sz w:val="18"/>
        </w:rPr>
        <w:t>no_self_referral</w:t>
      </w:r>
      <w:r>
        <w:rPr>
          <w:rFonts w:ascii="IBM Plex Serif" w:hAnsi="IBM Plex Serif" w:cs="IBM Plex Serif" w:eastAsia="IBM Plex Serif"/>
          <w:b w:val="0"/>
          <w:i w:val="0"/>
          <w:color w:val="1C1A17"/>
          <w:sz w:val="21"/>
        </w:rPr>
        <w:t>.</w:t>
      </w:r>
    </w:p>
    <w:p>
      <w:pPr>
        <w:spacing w:before="320" w:after="100"/>
        <w:keepNext w:val="1"/>
      </w:pPr>
      <w:r>
        <w:rPr>
          <w:rFonts w:ascii="IBM Plex Mono" w:hAnsi="IBM Plex Mono" w:cs="IBM Plex Mono" w:eastAsia="IBM Plex Mono"/>
          <w:b/>
          <w:i w:val="0"/>
          <w:color w:val="C62A26"/>
          <w:sz w:val="26"/>
        </w:rPr>
        <w:t xml:space="preserve">5.2   </w:t>
      </w:r>
      <w:r>
        <w:rPr>
          <w:rFonts w:ascii="Bebas Neue" w:hAnsi="Bebas Neue" w:cs="Bebas Neue" w:eastAsia="Bebas Neue"/>
          <w:b w:val="0"/>
          <w:i w:val="0"/>
          <w:color w:val="1C1A17"/>
          <w:sz w:val="36"/>
          <w:spacing w:val="10"/>
        </w:rPr>
        <w:t>UC-02 — Rechercher les garages à proximité</w:t>
      </w:r>
    </w:p>
    <w:p>
      <w:pPr>
        <w:spacing w:before="200" w:after="80"/>
        <w:keepNext w:val="1"/>
      </w:pPr>
      <w:r>
        <w:rPr>
          <w:rFonts w:ascii="IBM Plex Sans" w:hAnsi="IBM Plex Sans" w:cs="IBM Plex Sans" w:eastAsia="IBM Plex Sans"/>
          <w:b/>
          <w:i w:val="0"/>
          <w:color w:val="C62A26"/>
          <w:sz w:val="18"/>
        </w:rPr>
        <w:t xml:space="preserve">Tableau 6 — </w:t>
      </w:r>
      <w:r>
        <w:rPr>
          <w:rFonts w:ascii="IBM Plex Sans" w:hAnsi="IBM Plex Sans" w:cs="IBM Plex Sans" w:eastAsia="IBM Plex Sans"/>
          <w:b w:val="0"/>
          <w:i w:val="0"/>
          <w:color w:val="55514A"/>
          <w:sz w:val="18"/>
        </w:rPr>
        <w:t>Fiche du cas d'utilisation UC-02</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Présenter les garages autour de l'utilisateur, classés par pertinence, sur une carte et dans une liste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Service de tuiles cartographiques, récepteur de positionnement de l'appareil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et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Aucune. Le cas est accessible sans authentification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L'ouverture de l'écran Carte, un changement de tri, un changement de filtre, ou un déplacement significatif de l'utilisateur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Une liste ordonnée de garages est affichée, chacun portant un rang, une distance et une note ; les marqueurs de la carte portent le même rang que la liste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La carte reste affichée avec un bandeau explicite ; aucun classement erroné n'est présenté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Très élevée — c'est l'écran d'accueil de l'application</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L'application obtient la position courante, lissée et débarrassée des sauts implausibles.</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L'application appelle la route de recherche avec la position, un rayon, un tri et d'éventuels filtres.</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serveur restreint les garages actifs à ceux situés dans le rayon, au moyen du filtre géospatial qui consomme l'index.</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serveur calcule le rang de chaque garage par une fonction de fenêtrage, selon le tri demandé.</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Le serveur renvoie les garages avec leur rang, leur distance en mètres, leur note pondérée et leur état d'ouverture.</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val="0"/>
          <w:i w:val="0"/>
          <w:color w:val="1C1A17"/>
          <w:sz w:val="20"/>
        </w:rPr>
        <w:t>L'application affiche les marqueurs numérotés sur la carte et la liste correspondante, sans jamais recalculer le rang.</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Aucun garage dans le rayon.</w:t>
      </w:r>
      <w:r>
        <w:rPr>
          <w:rFonts w:ascii="IBM Plex Serif" w:hAnsi="IBM Plex Serif" w:cs="IBM Plex Serif" w:eastAsia="IBM Plex Serif"/>
          <w:b w:val="0"/>
          <w:i w:val="0"/>
          <w:color w:val="1C1A17"/>
          <w:sz w:val="21"/>
        </w:rPr>
        <w:t xml:space="preserve"> Le serveur élargit la recherche et renvoie le garage le plus proche dans un champ distinct, en signalant que le rayon a été élargi. L'interface le présente comme tel, et non comme un résultat ordinaire.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Changement de tri.</w:t>
      </w:r>
      <w:r>
        <w:rPr>
          <w:rFonts w:ascii="IBM Plex Serif" w:hAnsi="IBM Plex Serif" w:cs="IBM Plex Serif" w:eastAsia="IBM Plex Serif"/>
          <w:b w:val="0"/>
          <w:i w:val="0"/>
          <w:color w:val="1C1A17"/>
          <w:sz w:val="21"/>
        </w:rPr>
        <w:t xml:space="preserve"> Le classement est recalculé côté serveur et les marqueurs sont renumérotés en même temps que la liste, puisque les deux lisent la même valeur.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Filtres actifs.</w:t>
      </w:r>
      <w:r>
        <w:rPr>
          <w:rFonts w:ascii="IBM Plex Serif" w:hAnsi="IBM Plex Serif" w:cs="IBM Plex Serif" w:eastAsia="IBM Plex Serif"/>
          <w:b w:val="0"/>
          <w:i w:val="0"/>
          <w:color w:val="1C1A17"/>
          <w:sz w:val="21"/>
        </w:rPr>
        <w:t xml:space="preserve"> Un filtre par service, par certification ou par ouverture s'applique dans la requête elle-même et non après coup, faute de quoi la numérotation ne porterait pas sur les garages réellement proposés.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A4 — Position indisponible.</w:t>
      </w:r>
      <w:r>
        <w:rPr>
          <w:rFonts w:ascii="IBM Plex Serif" w:hAnsi="IBM Plex Serif" w:cs="IBM Plex Serif" w:eastAsia="IBM Plex Serif"/>
          <w:b w:val="0"/>
          <w:i w:val="0"/>
          <w:color w:val="1C1A17"/>
          <w:sz w:val="21"/>
        </w:rPr>
        <w:t xml:space="preserve"> L'écran reste utilisable, centré sur la ville par défaut, avec un bandeau de reprise de la localisation.</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Clé de tuiles absente ou invalide.</w:t>
      </w:r>
      <w:r>
        <w:rPr>
          <w:rFonts w:ascii="IBM Plex Serif" w:hAnsi="IBM Plex Serif" w:cs="IBM Plex Serif" w:eastAsia="IBM Plex Serif"/>
          <w:b w:val="0"/>
          <w:i w:val="0"/>
          <w:color w:val="1C1A17"/>
          <w:sz w:val="21"/>
        </w:rPr>
        <w:t xml:space="preserve"> La carte affiche un fond neutre portant la mention « indisponible » ; la liste, elle, reste complète et exploitable.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Serveur injoignable.</w:t>
      </w:r>
      <w:r>
        <w:rPr>
          <w:rFonts w:ascii="IBM Plex Serif" w:hAnsi="IBM Plex Serif" w:cs="IBM Plex Serif" w:eastAsia="IBM Plex Serif"/>
          <w:b w:val="0"/>
          <w:i w:val="0"/>
          <w:color w:val="1C1A17"/>
          <w:sz w:val="21"/>
        </w:rPr>
        <w:t xml:space="preserve"> Le cache local est présenté avec son horodatage, de manière à ce que l'utilisateur sache qu'il lit une donnée ancienne.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Coordonnées hors domaine.</w:t>
      </w:r>
      <w:r>
        <w:rPr>
          <w:rFonts w:ascii="IBM Plex Serif" w:hAnsi="IBM Plex Serif" w:cs="IBM Plex Serif" w:eastAsia="IBM Plex Serif"/>
          <w:b w:val="0"/>
          <w:i w:val="0"/>
          <w:color w:val="1C1A17"/>
          <w:sz w:val="21"/>
        </w:rPr>
        <w:t xml:space="preserve"> Le schéma partagé rejette la requête avant qu'elle n'atteigne la base.</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Le filtre de distance s'applique </w:t>
      </w:r>
      <w:r>
        <w:rPr>
          <w:rFonts w:ascii="IBM Plex Serif" w:hAnsi="IBM Plex Serif" w:cs="IBM Plex Serif" w:eastAsia="IBM Plex Serif"/>
          <w:b/>
          <w:i w:val="0"/>
          <w:color w:val="1C1A17"/>
          <w:sz w:val="21"/>
        </w:rPr>
        <w:t>avant</w:t>
      </w:r>
      <w:r>
        <w:rPr>
          <w:rFonts w:ascii="IBM Plex Serif" w:hAnsi="IBM Plex Serif" w:cs="IBM Plex Serif" w:eastAsia="IBM Plex Serif"/>
          <w:b w:val="0"/>
          <w:i w:val="0"/>
          <w:color w:val="1C1A17"/>
          <w:sz w:val="21"/>
        </w:rPr>
        <w:t xml:space="preserve"> le tri, sans quoi l'index géospatial n'est pas utilisé et la requête parcourt toute la table.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rang est calculé en SQL et jamais recalculé sur l'appareil.</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tri par qualité s'appuie sur une note bayésienne et non sur une moyenne, afin qu'un garage noté cinq sur deux avis ne devance pas un garage noté quatre virgule six sur cent vingt-huit.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 garage non vérifié ne peut pas être actif, donc ne peut pas apparaître — contrainte </w:t>
      </w:r>
      <w:r>
        <w:rPr>
          <w:rFonts w:ascii="IBM Plex Mono" w:hAnsi="IBM Plex Mono" w:cs="IBM Plex Mono" w:eastAsia="IBM Plex Mono"/>
          <w:b w:val="0"/>
          <w:i w:val="0"/>
          <w:color w:val="55514A"/>
          <w:sz w:val="18"/>
        </w:rPr>
        <w:t>active_requires_verification</w:t>
      </w:r>
      <w:r>
        <w:rPr>
          <w:rFonts w:ascii="IBM Plex Serif" w:hAnsi="IBM Plex Serif" w:cs="IBM Plex Serif" w:eastAsia="IBM Plex Serif"/>
          <w:b w:val="0"/>
          <w:i w:val="0"/>
          <w:color w:val="1C1A17"/>
          <w:sz w:val="21"/>
        </w:rPr>
        <w:t>.</w:t>
      </w:r>
    </w:p>
    <w:p>
      <w:pPr>
        <w:spacing w:before="320" w:after="100"/>
        <w:keepNext w:val="1"/>
      </w:pPr>
      <w:r>
        <w:rPr>
          <w:rFonts w:ascii="IBM Plex Mono" w:hAnsi="IBM Plex Mono" w:cs="IBM Plex Mono" w:eastAsia="IBM Plex Mono"/>
          <w:b/>
          <w:i w:val="0"/>
          <w:color w:val="C62A26"/>
          <w:sz w:val="26"/>
        </w:rPr>
        <w:t xml:space="preserve">5.3   </w:t>
      </w:r>
      <w:r>
        <w:rPr>
          <w:rFonts w:ascii="Bebas Neue" w:hAnsi="Bebas Neue" w:cs="Bebas Neue" w:eastAsia="Bebas Neue"/>
          <w:b w:val="0"/>
          <w:i w:val="0"/>
          <w:color w:val="1C1A17"/>
          <w:sz w:val="36"/>
          <w:spacing w:val="10"/>
        </w:rPr>
        <w:t>UC-03 — Déclarer une panne</w:t>
      </w:r>
    </w:p>
    <w:p>
      <w:pPr>
        <w:spacing w:before="200" w:after="80"/>
        <w:keepNext w:val="1"/>
      </w:pPr>
      <w:r>
        <w:rPr>
          <w:rFonts w:ascii="IBM Plex Sans" w:hAnsi="IBM Plex Sans" w:cs="IBM Plex Sans" w:eastAsia="IBM Plex Sans"/>
          <w:b/>
          <w:i w:val="0"/>
          <w:color w:val="C62A26"/>
          <w:sz w:val="18"/>
        </w:rPr>
        <w:t xml:space="preserve">Tableau 7 — </w:t>
      </w:r>
      <w:r>
        <w:rPr>
          <w:rFonts w:ascii="IBM Plex Sans" w:hAnsi="IBM Plex Sans" w:cs="IBM Plex Sans" w:eastAsia="IBM Plex Sans"/>
          <w:b w:val="0"/>
          <w:i w:val="0"/>
          <w:color w:val="55514A"/>
          <w:sz w:val="18"/>
        </w:rPr>
        <w:t>Fiche du cas d'utilisation UC-03</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Enregistrer une demande d'assistance décrivant le véhicule, la panne, l'urgence, la position et le mode de service, et obtenir immédiatement les garages candidats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Service de stockage des photographies, récepteur de positionnement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et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 — c'est le cas central du produit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Le client est authentifié et n'a aucune demande active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L'appui sur le bouton SOS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 xml:space="preserve">Une demande existe à l'état d'attente de choix de garage ; un événement </w:t>
            </w:r>
            <w:r>
              <w:rPr>
                <w:rFonts w:ascii="IBM Plex Mono" w:hAnsi="IBM Plex Mono" w:cs="IBM Plex Mono" w:eastAsia="IBM Plex Mono"/>
                <w:b w:val="0"/>
                <w:i w:val="0"/>
                <w:color w:val="55514A"/>
                <w:sz w:val="16"/>
              </w:rPr>
              <w:t>created</w:t>
            </w:r>
            <w:r>
              <w:rPr>
                <w:rFonts w:ascii="IBM Plex Serif" w:hAnsi="IBM Plex Serif" w:cs="IBM Plex Serif" w:eastAsia="IBM Plex Serif"/>
                <w:b w:val="0"/>
                <w:i w:val="0"/>
                <w:color w:val="1C1A17"/>
                <w:sz w:val="18"/>
              </w:rPr>
              <w:t xml:space="preserve"> est inscrit au journal, portant le mode de service convenu ; les garages candidats sont renvoyés classés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Aucune demande n'est créée ; la saisie est conservée localement pour que rien ne soit à retaper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Moyenne — plusieurs fois par an et par conducteur</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client appuie sur le bouton SOS depuis l'écran Carte.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L'application acquiert la position, applique le filtre de lissage et affiche la précision réelle du relevé.</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client choisit le type de véhicule parmi voiture, moto, camion et une catégorie ouverte.</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L'application affiche les pannes correspondant à ce véhicule, ordonnées de la plus probable à la moins probable.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Le client choisit la panne, puis renseigne le niveau d'urgence, l'immobilisation et la présence de passagers vulnérables.</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val="0"/>
          <w:i w:val="0"/>
          <w:color w:val="1C1A17"/>
          <w:sz w:val="20"/>
        </w:rPr>
        <w:t>Le client choisit le mode de service : le garagiste se déplace, ou il conduit lui-même jusqu'à l'atelier.</w:t>
      </w:r>
    </w:p>
    <w:p>
      <w:pPr>
        <w:spacing w:after="60" w:line="302" w:lineRule="auto"/>
        <w:ind w:left="595" w:hanging="595"/>
        <w:jc w:val="both"/>
      </w:pPr>
      <w:r>
        <w:rPr>
          <w:rFonts w:ascii="IBM Plex Mono" w:hAnsi="IBM Plex Mono" w:cs="IBM Plex Mono" w:eastAsia="IBM Plex Mono"/>
          <w:b/>
          <w:i w:val="0"/>
          <w:color w:val="C62A26"/>
          <w:sz w:val="19"/>
        </w:rPr>
        <w:t xml:space="preserve"> 7.  </w:t>
      </w:r>
      <w:r>
        <w:rPr>
          <w:rFonts w:ascii="IBM Plex Serif" w:hAnsi="IBM Plex Serif" w:cs="IBM Plex Serif" w:eastAsia="IBM Plex Serif"/>
          <w:b w:val="0"/>
          <w:i w:val="0"/>
          <w:color w:val="1C1A17"/>
          <w:sz w:val="20"/>
        </w:rPr>
        <w:t>Le client ajoute éventuellement une description libre et une photographie.</w:t>
      </w:r>
    </w:p>
    <w:p>
      <w:pPr>
        <w:spacing w:after="60" w:line="302" w:lineRule="auto"/>
        <w:ind w:left="595" w:hanging="595"/>
        <w:jc w:val="both"/>
      </w:pPr>
      <w:r>
        <w:rPr>
          <w:rFonts w:ascii="IBM Plex Mono" w:hAnsi="IBM Plex Mono" w:cs="IBM Plex Mono" w:eastAsia="IBM Plex Mono"/>
          <w:b/>
          <w:i w:val="0"/>
          <w:color w:val="C62A26"/>
          <w:sz w:val="19"/>
        </w:rPr>
        <w:t xml:space="preserve"> 8.  </w:t>
      </w:r>
      <w:r>
        <w:rPr>
          <w:rFonts w:ascii="IBM Plex Serif" w:hAnsi="IBM Plex Serif" w:cs="IBM Plex Serif" w:eastAsia="IBM Plex Serif"/>
          <w:b w:val="0"/>
          <w:i w:val="0"/>
          <w:color w:val="1C1A17"/>
          <w:sz w:val="20"/>
        </w:rPr>
        <w:t>L'application présente un récapitulatif ; le client valide.</w:t>
      </w:r>
    </w:p>
    <w:p>
      <w:pPr>
        <w:spacing w:after="60" w:line="302" w:lineRule="auto"/>
        <w:ind w:left="595" w:hanging="595"/>
        <w:jc w:val="both"/>
      </w:pPr>
      <w:r>
        <w:rPr>
          <w:rFonts w:ascii="IBM Plex Mono" w:hAnsi="IBM Plex Mono" w:cs="IBM Plex Mono" w:eastAsia="IBM Plex Mono"/>
          <w:b/>
          <w:i w:val="0"/>
          <w:color w:val="C62A26"/>
          <w:sz w:val="19"/>
        </w:rPr>
        <w:t xml:space="preserve"> 9.  </w:t>
      </w:r>
      <w:r>
        <w:rPr>
          <w:rFonts w:ascii="IBM Plex Serif" w:hAnsi="IBM Plex Serif" w:cs="IBM Plex Serif" w:eastAsia="IBM Plex Serif"/>
          <w:b w:val="0"/>
          <w:i w:val="0"/>
          <w:color w:val="1C1A17"/>
          <w:sz w:val="20"/>
        </w:rPr>
        <w:t>Le serveur valide la demande, l'enregistre, inscrit l'événement fondateur au journal avec le mode retenu, puis recherche les garages et les renvoie classés dans la même réponse.</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Véhicule de catégorie ouverte.</w:t>
      </w:r>
      <w:r>
        <w:rPr>
          <w:rFonts w:ascii="IBM Plex Serif" w:hAnsi="IBM Plex Serif" w:cs="IBM Plex Serif" w:eastAsia="IBM Plex Serif"/>
          <w:b w:val="0"/>
          <w:i w:val="0"/>
          <w:color w:val="1C1A17"/>
          <w:sz w:val="21"/>
        </w:rPr>
        <w:t xml:space="preserve"> À l'étape 3, un libellé libre devient obligatoire. La règle vit dans le contrat partagé : l'application désactive la validation et le serveur refuse la demande, sans que la règle soit écrite deux fois.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Panne de catégorie ouverte.</w:t>
      </w:r>
      <w:r>
        <w:rPr>
          <w:rFonts w:ascii="IBM Plex Serif" w:hAnsi="IBM Plex Serif" w:cs="IBM Plex Serif" w:eastAsia="IBM Plex Serif"/>
          <w:b w:val="0"/>
          <w:i w:val="0"/>
          <w:color w:val="1C1A17"/>
          <w:sz w:val="21"/>
        </w:rPr>
        <w:t xml:space="preserve"> À l'étape 5, la description libre devient obligatoire, pour la même raison : c'est elle que le garagiste lit pour décider s'il peut intervenir.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Véhicule immobilisé.</w:t>
      </w:r>
      <w:r>
        <w:rPr>
          <w:rFonts w:ascii="IBM Plex Serif" w:hAnsi="IBM Plex Serif" w:cs="IBM Plex Serif" w:eastAsia="IBM Plex Serif"/>
          <w:b w:val="0"/>
          <w:i w:val="0"/>
          <w:color w:val="1C1A17"/>
          <w:sz w:val="21"/>
        </w:rPr>
        <w:t xml:space="preserve"> Le sélecteur de mode disparaît et laisse une phrase explicative, le mode étant forcé au déplacement du garagiste. Un choix impossible qu'on grise reste un choix qu'on a proposé.</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A4 — Le client revient sur l'immobilisation.</w:t>
      </w:r>
      <w:r>
        <w:rPr>
          <w:rFonts w:ascii="IBM Plex Serif" w:hAnsi="IBM Plex Serif" w:cs="IBM Plex Serif" w:eastAsia="IBM Plex Serif"/>
          <w:b w:val="0"/>
          <w:i w:val="0"/>
          <w:color w:val="1C1A17"/>
          <w:sz w:val="21"/>
        </w:rPr>
        <w:t xml:space="preserve"> Cocher « immobilisé » après avoir choisi l'atelier remet automatiquement le mode au déplacement du garagiste, afin qu'aucun brouillon refusé par le serveur ne survive jusqu'à l'envoi.</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A5 — Véhicule enregistré.</w:t>
      </w:r>
      <w:r>
        <w:rPr>
          <w:rFonts w:ascii="IBM Plex Serif" w:hAnsi="IBM Plex Serif" w:cs="IBM Plex Serif" w:eastAsia="IBM Plex Serif"/>
          <w:b w:val="0"/>
          <w:i w:val="0"/>
          <w:color w:val="1C1A17"/>
          <w:sz w:val="21"/>
        </w:rPr>
        <w:t xml:space="preserve"> Le client choisit un véhicule de son profil, ce qui préremplit le type et la marque.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A6 — Photographie.</w:t>
      </w:r>
      <w:r>
        <w:rPr>
          <w:rFonts w:ascii="IBM Plex Serif" w:hAnsi="IBM Plex Serif" w:cs="IBM Plex Serif" w:eastAsia="IBM Plex Serif"/>
          <w:b w:val="0"/>
          <w:i w:val="0"/>
          <w:color w:val="1C1A17"/>
          <w:sz w:val="21"/>
        </w:rPr>
        <w:t xml:space="preserve"> L'image part directement vers le service de stockage au moyen d'une signature délivrée par le serveur ; elle ne transite pas par l'interface de programmation.</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Une demande est déjà active.</w:t>
      </w:r>
      <w:r>
        <w:rPr>
          <w:rFonts w:ascii="IBM Plex Serif" w:hAnsi="IBM Plex Serif" w:cs="IBM Plex Serif" w:eastAsia="IBM Plex Serif"/>
          <w:b w:val="0"/>
          <w:i w:val="0"/>
          <w:color w:val="1C1A17"/>
          <w:sz w:val="21"/>
        </w:rPr>
        <w:t xml:space="preserve"> Le serveur refuse la création. L'application propose d'ouvrir la demande en cours plutôt que d'en créer une seconde.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Position indisponible.</w:t>
      </w:r>
      <w:r>
        <w:rPr>
          <w:rFonts w:ascii="IBM Plex Serif" w:hAnsi="IBM Plex Serif" w:cs="IBM Plex Serif" w:eastAsia="IBM Plex Serif"/>
          <w:b w:val="0"/>
          <w:i w:val="0"/>
          <w:color w:val="1C1A17"/>
          <w:sz w:val="21"/>
        </w:rPr>
        <w:t xml:space="preserve"> Le parcours se poursuit avec un bandeau de reprise ; la demande est refusée seulement si aucune position n'a pu être obtenue au moment de l'envoi.</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Mode incompatible avec l'immobilisation.</w:t>
      </w:r>
      <w:r>
        <w:rPr>
          <w:rFonts w:ascii="IBM Plex Serif" w:hAnsi="IBM Plex Serif" w:cs="IBM Plex Serif" w:eastAsia="IBM Plex Serif"/>
          <w:b w:val="0"/>
          <w:i w:val="0"/>
          <w:color w:val="1C1A17"/>
          <w:sz w:val="21"/>
        </w:rPr>
        <w:t xml:space="preserve"> Refus par le contrat partagé, puis par la contrainte de base. La règle est tenue à trois endroits, dont deux qui survivent à un client modifié.</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E4 — Envoi de la photographie en échec.</w:t>
      </w:r>
      <w:r>
        <w:rPr>
          <w:rFonts w:ascii="IBM Plex Serif" w:hAnsi="IBM Plex Serif" w:cs="IBM Plex Serif" w:eastAsia="IBM Plex Serif"/>
          <w:b w:val="0"/>
          <w:i w:val="0"/>
          <w:color w:val="1C1A17"/>
          <w:sz w:val="21"/>
        </w:rPr>
        <w:t xml:space="preserve"> La demande part sans photographie plutôt que d'échouer : l'image est un confort, la demande est une urgence.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E5 — Réseau perdu pendant l'envoi.</w:t>
      </w:r>
      <w:r>
        <w:rPr>
          <w:rFonts w:ascii="IBM Plex Serif" w:hAnsi="IBM Plex Serif" w:cs="IBM Plex Serif" w:eastAsia="IBM Plex Serif"/>
          <w:b w:val="0"/>
          <w:i w:val="0"/>
          <w:color w:val="1C1A17"/>
          <w:sz w:val="21"/>
        </w:rPr>
        <w:t xml:space="preserve"> La saisie est conservée localement et l'envoi est réessayé.</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 client n'a qu'une seule demande active — index d'unicité </w:t>
      </w:r>
      <w:r>
        <w:rPr>
          <w:rFonts w:ascii="IBM Plex Mono" w:hAnsi="IBM Plex Mono" w:cs="IBM Plex Mono" w:eastAsia="IBM Plex Mono"/>
          <w:b w:val="0"/>
          <w:i w:val="0"/>
          <w:color w:val="55514A"/>
          <w:sz w:val="18"/>
        </w:rPr>
        <w:t>requests_one_active_per_client_idx</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 véhicule immobilisé interdit le mode « je vais au garage » — contrainte de la migration </w:t>
      </w:r>
      <w:r>
        <w:rPr>
          <w:rFonts w:ascii="IBM Plex Mono" w:hAnsi="IBM Plex Mono" w:cs="IBM Plex Mono" w:eastAsia="IBM Plex Mono"/>
          <w:b w:val="0"/>
          <w:i w:val="0"/>
          <w:color w:val="55514A"/>
          <w:sz w:val="18"/>
        </w:rPr>
        <w:t>0009</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La catégorie ouverte de véhicule exige un libellé — contrainte </w:t>
      </w:r>
      <w:r>
        <w:rPr>
          <w:rFonts w:ascii="IBM Plex Mono" w:hAnsi="IBM Plex Mono" w:cs="IBM Plex Mono" w:eastAsia="IBM Plex Mono"/>
          <w:b w:val="0"/>
          <w:i w:val="0"/>
          <w:color w:val="55514A"/>
          <w:sz w:val="18"/>
        </w:rPr>
        <w:t>vehicle_other_requires_label</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La panne de catégorie ouverte exige une description — contrainte </w:t>
      </w:r>
      <w:r>
        <w:rPr>
          <w:rFonts w:ascii="IBM Plex Mono" w:hAnsi="IBM Plex Mono" w:cs="IBM Plex Mono" w:eastAsia="IBM Plex Mono"/>
          <w:b w:val="0"/>
          <w:i w:val="0"/>
          <w:color w:val="55514A"/>
          <w:sz w:val="18"/>
        </w:rPr>
        <w:t>problem_other_requires_description</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mode de service est fixé à la création et n'est plus modifiable ; il est écrit à la fois dans une colonne et dans le journal, de sorte qu'une commission contestée puisse être tranchée sur l'événement fondateur.</w:t>
      </w:r>
    </w:p>
    <w:p>
      <w:pPr>
        <w:spacing w:before="320" w:after="100"/>
        <w:keepNext w:val="1"/>
      </w:pPr>
      <w:r>
        <w:rPr>
          <w:rFonts w:ascii="IBM Plex Mono" w:hAnsi="IBM Plex Mono" w:cs="IBM Plex Mono" w:eastAsia="IBM Plex Mono"/>
          <w:b/>
          <w:i w:val="0"/>
          <w:color w:val="C62A26"/>
          <w:sz w:val="26"/>
        </w:rPr>
        <w:t xml:space="preserve">5.4   </w:t>
      </w:r>
      <w:r>
        <w:rPr>
          <w:rFonts w:ascii="Bebas Neue" w:hAnsi="Bebas Neue" w:cs="Bebas Neue" w:eastAsia="Bebas Neue"/>
          <w:b w:val="0"/>
          <w:i w:val="0"/>
          <w:color w:val="1C1A17"/>
          <w:sz w:val="36"/>
          <w:spacing w:val="10"/>
        </w:rPr>
        <w:t>UC-04 — Choisir un garage</w:t>
      </w:r>
    </w:p>
    <w:p>
      <w:pPr>
        <w:spacing w:before="200" w:after="80"/>
        <w:keepNext w:val="1"/>
      </w:pPr>
      <w:r>
        <w:rPr>
          <w:rFonts w:ascii="IBM Plex Sans" w:hAnsi="IBM Plex Sans" w:cs="IBM Plex Sans" w:eastAsia="IBM Plex Sans"/>
          <w:b/>
          <w:i w:val="0"/>
          <w:color w:val="C62A26"/>
          <w:sz w:val="18"/>
        </w:rPr>
        <w:t xml:space="preserve">Tableau 8 — </w:t>
      </w:r>
      <w:r>
        <w:rPr>
          <w:rFonts w:ascii="IBM Plex Sans" w:hAnsi="IBM Plex Sans" w:cs="IBM Plex Sans" w:eastAsia="IBM Plex Sans"/>
          <w:b w:val="0"/>
          <w:i w:val="0"/>
          <w:color w:val="55514A"/>
          <w:sz w:val="18"/>
        </w:rPr>
        <w:t>Fiche du cas d'utilisation UC-04</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Retenir un garage parmi les candidats classés et lui adresser la demande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Garagiste, par la notification qu'il reçoit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 canal temps réel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Sous-objectif du cas UC-03</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Une demande existe à l'état d'attente de choix de garage, et au moins un candidat a été renvoyé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Le client sélectionne un garage dans la liste ou sur la carte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La demande passe à l'état d'attente de réponse, l'horodatage de sélection est posé, et la file de travail du garagiste lui est poussée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La demande reste en attente de choix, sans garage rattaché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Une fois par demande, parfois davantage en cas de refus</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client consulte la fiche contextuelle d'un garage : nom, distance, note, certification, services.</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client retient ce garage.</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serveur rattache le garage à la demande, pose l'horodatage de sélection et inscrit un événement au journal.</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serveur pousse la file de travail complète au propriétaire du garage, sur sa salle utilisateur.</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L'application du client bascule sur l'écran d'attente, dont le compteur démarre à l'horodatage de sélection.</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Appel téléphonique préalable.</w:t>
      </w:r>
      <w:r>
        <w:rPr>
          <w:rFonts w:ascii="IBM Plex Serif" w:hAnsi="IBM Plex Serif" w:cs="IBM Plex Serif" w:eastAsia="IBM Plex Serif"/>
          <w:b w:val="0"/>
          <w:i w:val="0"/>
          <w:color w:val="1C1A17"/>
          <w:sz w:val="21"/>
        </w:rPr>
        <w:t xml:space="preserve"> Le client appelle le garage depuis la fiche avant de le retenir. L'appel ne modifie pas l'état de la demande.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Consultation de la fiche complète.</w:t>
      </w:r>
      <w:r>
        <w:rPr>
          <w:rFonts w:ascii="IBM Plex Serif" w:hAnsi="IBM Plex Serif" w:cs="IBM Plex Serif" w:eastAsia="IBM Plex Serif"/>
          <w:b w:val="0"/>
          <w:i w:val="0"/>
          <w:color w:val="1C1A17"/>
          <w:sz w:val="21"/>
        </w:rPr>
        <w:t xml:space="preserve"> Le client ouvre la fiche détaillée et ses avis avant de décider, puis revient aux résultats sans perdre le classement.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Le garagiste n'est pas connecté.</w:t>
      </w:r>
      <w:r>
        <w:rPr>
          <w:rFonts w:ascii="IBM Plex Serif" w:hAnsi="IBM Plex Serif" w:cs="IBM Plex Serif" w:eastAsia="IBM Plex Serif"/>
          <w:b w:val="0"/>
          <w:i w:val="0"/>
          <w:color w:val="1C1A17"/>
          <w:sz w:val="21"/>
        </w:rPr>
        <w:t xml:space="preserve"> La demande lui est présentée à sa prochaine connexion ; l'écran d'attente du client indique que le garage n'a pas encore répondu.</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Le garage est devenu inactif entre la recherche et le choix.</w:t>
      </w:r>
      <w:r>
        <w:rPr>
          <w:rFonts w:ascii="IBM Plex Serif" w:hAnsi="IBM Plex Serif" w:cs="IBM Plex Serif" w:eastAsia="IBM Plex Serif"/>
          <w:b w:val="0"/>
          <w:i w:val="0"/>
          <w:color w:val="1C1A17"/>
          <w:sz w:val="21"/>
        </w:rPr>
        <w:t xml:space="preserve"> Le serveur refuse la sélection et invite à en choisir un autre.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La demande a été annulée entre-temps.</w:t>
      </w:r>
      <w:r>
        <w:rPr>
          <w:rFonts w:ascii="IBM Plex Serif" w:hAnsi="IBM Plex Serif" w:cs="IBM Plex Serif" w:eastAsia="IBM Plex Serif"/>
          <w:b w:val="0"/>
          <w:i w:val="0"/>
          <w:color w:val="1C1A17"/>
          <w:sz w:val="21"/>
        </w:rPr>
        <w:t xml:space="preserve"> Le serveur refuse la transition ; l'application se resynchronise sur l'état réel.</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Réseau perdu.</w:t>
      </w:r>
      <w:r>
        <w:rPr>
          <w:rFonts w:ascii="IBM Plex Serif" w:hAnsi="IBM Plex Serif" w:cs="IBM Plex Serif" w:eastAsia="IBM Plex Serif"/>
          <w:b w:val="0"/>
          <w:i w:val="0"/>
          <w:color w:val="1C1A17"/>
          <w:sz w:val="21"/>
        </w:rPr>
        <w:t xml:space="preserve"> Le choix est réessayé ; l'écran d'attente affiche le mode dégradé.</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Passé la sélection, un garage est obligatoire sur la demande — contrainte </w:t>
      </w:r>
      <w:r>
        <w:rPr>
          <w:rFonts w:ascii="IBM Plex Mono" w:hAnsi="IBM Plex Mono" w:cs="IBM Plex Mono" w:eastAsia="IBM Plex Mono"/>
          <w:b w:val="0"/>
          <w:i w:val="0"/>
          <w:color w:val="55514A"/>
          <w:sz w:val="18"/>
        </w:rPr>
        <w:t>garage_set_after_selection</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L'horodatage de sélection existe pour que le compteur d'attente ne démarre pas à l'ouverture du formulaire : les minutes passées à comparer les garages ne sont pas du temps d'attente du garagiste.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file de travail est poussée entière plutôt que sous forme d'un signal à recharger, pour éviter un aller-retour réseau supplémentaire au moment le plus sensible.</w:t>
      </w:r>
    </w:p>
    <w:p>
      <w:pPr>
        <w:spacing w:before="320" w:after="100"/>
        <w:keepNext w:val="1"/>
      </w:pPr>
      <w:r>
        <w:rPr>
          <w:rFonts w:ascii="IBM Plex Mono" w:hAnsi="IBM Plex Mono" w:cs="IBM Plex Mono" w:eastAsia="IBM Plex Mono"/>
          <w:b/>
          <w:i w:val="0"/>
          <w:color w:val="C62A26"/>
          <w:sz w:val="26"/>
        </w:rPr>
        <w:t xml:space="preserve">5.5   </w:t>
      </w:r>
      <w:r>
        <w:rPr>
          <w:rFonts w:ascii="Bebas Neue" w:hAnsi="Bebas Neue" w:cs="Bebas Neue" w:eastAsia="Bebas Neue"/>
          <w:b w:val="0"/>
          <w:i w:val="0"/>
          <w:color w:val="1C1A17"/>
          <w:sz w:val="36"/>
          <w:spacing w:val="10"/>
        </w:rPr>
        <w:t>UC-05 — Accepter ou refuser une demande</w:t>
      </w:r>
    </w:p>
    <w:p>
      <w:pPr>
        <w:spacing w:before="200" w:after="80"/>
        <w:keepNext w:val="1"/>
      </w:pPr>
      <w:r>
        <w:rPr>
          <w:rFonts w:ascii="IBM Plex Sans" w:hAnsi="IBM Plex Sans" w:cs="IBM Plex Sans" w:eastAsia="IBM Plex Sans"/>
          <w:b/>
          <w:i w:val="0"/>
          <w:color w:val="C62A26"/>
          <w:sz w:val="18"/>
        </w:rPr>
        <w:t xml:space="preserve">Tableau 9 — </w:t>
      </w:r>
      <w:r>
        <w:rPr>
          <w:rFonts w:ascii="IBM Plex Sans" w:hAnsi="IBM Plex Sans" w:cs="IBM Plex Sans" w:eastAsia="IBM Plex Sans"/>
          <w:b w:val="0"/>
          <w:i w:val="0"/>
          <w:color w:val="55514A"/>
          <w:sz w:val="18"/>
        </w:rPr>
        <w:t>Fiche du cas d'utilisation UC-05</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Permettre au garagiste de s'engager sur une demande, ou de la rendre à la recherche sans la détruire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Garagiste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Client, par la notification qu'il reçoit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 canal temps réel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Le garagiste est authentifié, propriétaire d'un garage vérifié, et une demande lui a été adressée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 réception d'une demande dans sa file de travail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La demande est acceptée, ou rendue à l'état de recherche avec un événement de refus inscrit au journal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L'état de la demande est inchangé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Élevée pour un garage actif</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garagiste ouvre la demande depuis sa file de travail.</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La fiche présente un bandeau indiquant le mode de service, placé avant les chiffres parce qu'il en change la lecture.</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garagiste consulte le véhicule, la panne, l'urgence, la distance, la photographie éventuelle et le trajet concerné.</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garagiste accepte.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Le serveur pose l'horodatage d'acceptation, inscrit l'événement et prévient le client.</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Refus.</w:t>
      </w:r>
      <w:r>
        <w:rPr>
          <w:rFonts w:ascii="IBM Plex Serif" w:hAnsi="IBM Plex Serif" w:cs="IBM Plex Serif" w:eastAsia="IBM Plex Serif"/>
          <w:b w:val="0"/>
          <w:i w:val="0"/>
          <w:color w:val="1C1A17"/>
          <w:sz w:val="21"/>
        </w:rPr>
        <w:t xml:space="preserve"> Le garagiste ne peut pas intervenir. La demande retourne à l'état de recherche en perdant uniquement son garage : elle conserve son identifiant, son journal et son ancienneté. Un événement de refus est inscrit, distinct d'une annulation.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Mode « je vais au garage ».</w:t>
      </w:r>
      <w:r>
        <w:rPr>
          <w:rFonts w:ascii="IBM Plex Serif" w:hAnsi="IBM Plex Serif" w:cs="IBM Plex Serif" w:eastAsia="IBM Plex Serif"/>
          <w:b w:val="0"/>
          <w:i w:val="0"/>
          <w:color w:val="1C1A17"/>
          <w:sz w:val="21"/>
        </w:rPr>
        <w:t xml:space="preserve"> L'acceptation n'ouvre pas l'écran d'itinéraire, puisque le garagiste ne se déplace pas. Le bouton principal devient une mention inerte annonçant l'attente du départ du client.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Mode « le garagiste vient ».</w:t>
      </w:r>
      <w:r>
        <w:rPr>
          <w:rFonts w:ascii="IBM Plex Serif" w:hAnsi="IBM Plex Serif" w:cs="IBM Plex Serif" w:eastAsia="IBM Plex Serif"/>
          <w:b w:val="0"/>
          <w:i w:val="0"/>
          <w:color w:val="1C1A17"/>
          <w:sz w:val="21"/>
        </w:rPr>
        <w:t xml:space="preserve"> L'acceptation propose l'itinéraire vers le lieu de la panne.</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La demande a été annulée par le client.</w:t>
      </w:r>
      <w:r>
        <w:rPr>
          <w:rFonts w:ascii="IBM Plex Serif" w:hAnsi="IBM Plex Serif" w:cs="IBM Plex Serif" w:eastAsia="IBM Plex Serif"/>
          <w:b w:val="0"/>
          <w:i w:val="0"/>
          <w:color w:val="1C1A17"/>
          <w:sz w:val="21"/>
        </w:rPr>
        <w:t xml:space="preserve"> Le serveur refuse l'acceptation ; la file se met à jour.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Un autre garage a été retenu entre-temps.</w:t>
      </w:r>
      <w:r>
        <w:rPr>
          <w:rFonts w:ascii="IBM Plex Serif" w:hAnsi="IBM Plex Serif" w:cs="IBM Plex Serif" w:eastAsia="IBM Plex Serif"/>
          <w:b w:val="0"/>
          <w:i w:val="0"/>
          <w:color w:val="1C1A17"/>
          <w:sz w:val="21"/>
        </w:rPr>
        <w:t xml:space="preserve"> Le serveur refuse la transition.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Le garage n'est pas vérifié.</w:t>
      </w:r>
      <w:r>
        <w:rPr>
          <w:rFonts w:ascii="IBM Plex Serif" w:hAnsi="IBM Plex Serif" w:cs="IBM Plex Serif" w:eastAsia="IBM Plex Serif"/>
          <w:b w:val="0"/>
          <w:i w:val="0"/>
          <w:color w:val="1C1A17"/>
          <w:sz w:val="21"/>
        </w:rPr>
        <w:t xml:space="preserve"> Il ne reçoit aucune demande, puisqu'un garage non vérifié ne peut pas être actif.</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refus est un événement de journal à part entière et non une annulation déguisée : c'est lui qui portera le taux de refus par garage, et qui explique après coup pourquoi une demande a traversé trois ateliers.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retour à l'état de recherche est la seule marche arrière de la machine à états, et elle ne retire que le garage.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bandeau de mode figure sur la fiche pour les deux modes, alors que la liste ne signale que l'exception : on parcourt une file, mais on s'engage sur une fiche.</w:t>
      </w:r>
    </w:p>
    <w:p>
      <w:pPr>
        <w:spacing w:before="320" w:after="100"/>
        <w:keepNext w:val="1"/>
      </w:pPr>
      <w:r>
        <w:rPr>
          <w:rFonts w:ascii="IBM Plex Mono" w:hAnsi="IBM Plex Mono" w:cs="IBM Plex Mono" w:eastAsia="IBM Plex Mono"/>
          <w:b/>
          <w:i w:val="0"/>
          <w:color w:val="C62A26"/>
          <w:sz w:val="26"/>
        </w:rPr>
        <w:t xml:space="preserve">5.6   </w:t>
      </w:r>
      <w:r>
        <w:rPr>
          <w:rFonts w:ascii="Bebas Neue" w:hAnsi="Bebas Neue" w:cs="Bebas Neue" w:eastAsia="Bebas Neue"/>
          <w:b w:val="0"/>
          <w:i w:val="0"/>
          <w:color w:val="1C1A17"/>
          <w:sz w:val="36"/>
          <w:spacing w:val="10"/>
        </w:rPr>
        <w:t>UC-06 — Déclarer son départ</w:t>
      </w:r>
    </w:p>
    <w:p>
      <w:pPr>
        <w:spacing w:before="200" w:after="80"/>
        <w:keepNext w:val="1"/>
      </w:pPr>
      <w:r>
        <w:rPr>
          <w:rFonts w:ascii="IBM Plex Sans" w:hAnsi="IBM Plex Sans" w:cs="IBM Plex Sans" w:eastAsia="IBM Plex Sans"/>
          <w:b/>
          <w:i w:val="0"/>
          <w:color w:val="C62A26"/>
          <w:sz w:val="18"/>
        </w:rPr>
        <w:t xml:space="preserve">Tableau 10 — </w:t>
      </w:r>
      <w:r>
        <w:rPr>
          <w:rFonts w:ascii="IBM Plex Sans" w:hAnsi="IBM Plex Sans" w:cs="IBM Plex Sans" w:eastAsia="IBM Plex Sans"/>
          <w:b w:val="0"/>
          <w:i w:val="0"/>
          <w:color w:val="55514A"/>
          <w:sz w:val="18"/>
        </w:rPr>
        <w:t>Fiche du cas d'utilisation UC-06</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Ouvrir la fenêtre de lecture de la trace de celui qui se déplace, et signaler le départ à l'autre partie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Le voyageur : le garagiste en mode « le garagiste vient », le client en mode « je vais au garage »</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L'autre partie, par la notification qu'elle reçoit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 canal temps réel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Sous-objectif du suivi</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La demande est acceptée, et l'acteur est bien le voyageur du mode retenu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L'appui sur « Je pars »</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L'horodatage de départ est posé, la demande passe en route, et tout relevé de position postérieur entre dans la fenêtre de preuve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L'état est inchangé et aucune fenêtre n'est ouverte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Une fois par intervention</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voyageur appuie sur « Je pars ». Aucune boîte de confirmation ne s'interpose.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serveur vérifie que l'acteur est bien le voyageur du mode de service retenu.</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serveur pose l'horodatage de départ, fait passer la demande en route et inscrit l'événement.</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L'autre partie est prévenue et son écran de suivi s'ouvre.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Le téléphone du voyageur commence à émettre sa position selon la cadence convenue.</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Départ anticipé.</w:t>
      </w:r>
      <w:r>
        <w:rPr>
          <w:rFonts w:ascii="IBM Plex Serif" w:hAnsi="IBM Plex Serif" w:cs="IBM Plex Serif" w:eastAsia="IBM Plex Serif"/>
          <w:b w:val="0"/>
          <w:i w:val="0"/>
          <w:color w:val="1C1A17"/>
          <w:sz w:val="21"/>
        </w:rPr>
        <w:t xml:space="preserve"> Le voyageur appuie avant d'être réellement parti. La fenêtre de lecture s'en trouve élargie, ce qui ne fausse aucune mesure : la preuve lit une trace, pas une intention.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Le client conduit.</w:t>
      </w:r>
      <w:r>
        <w:rPr>
          <w:rFonts w:ascii="IBM Plex Serif" w:hAnsi="IBM Plex Serif" w:cs="IBM Plex Serif" w:eastAsia="IBM Plex Serif"/>
          <w:b w:val="0"/>
          <w:i w:val="0"/>
          <w:color w:val="1C1A17"/>
          <w:sz w:val="21"/>
        </w:rPr>
        <w:t xml:space="preserve"> L'écran présenté n'est pas celui de l'attente mais celui de la conduite : on n'y demande pas « où en est-il ? » mais « où je vais ».</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Le mauvais acteur déclare le départ.</w:t>
      </w:r>
      <w:r>
        <w:rPr>
          <w:rFonts w:ascii="IBM Plex Serif" w:hAnsi="IBM Plex Serif" w:cs="IBM Plex Serif" w:eastAsia="IBM Plex Serif"/>
          <w:b w:val="0"/>
          <w:i w:val="0"/>
          <w:color w:val="1C1A17"/>
          <w:sz w:val="21"/>
        </w:rPr>
        <w:t xml:space="preserve"> Le serveur refuse. Un garagiste qui poserait cet horodatage sur une demande où le client conduit démarrerait le chronomètre de quelqu'un d'autre, et pourrait effacer la trace entière d'un trajet réel.</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La demande n'est pas acceptée.</w:t>
      </w:r>
      <w:r>
        <w:rPr>
          <w:rFonts w:ascii="IBM Plex Serif" w:hAnsi="IBM Plex Serif" w:cs="IBM Plex Serif" w:eastAsia="IBM Plex Serif"/>
          <w:b w:val="0"/>
          <w:i w:val="0"/>
          <w:color w:val="1C1A17"/>
          <w:sz w:val="21"/>
        </w:rPr>
        <w:t xml:space="preserve"> La transition est refusée.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Réseau perdu.</w:t>
      </w:r>
      <w:r>
        <w:rPr>
          <w:rFonts w:ascii="IBM Plex Serif" w:hAnsi="IBM Plex Serif" w:cs="IBM Plex Serif" w:eastAsia="IBM Plex Serif"/>
          <w:b w:val="0"/>
          <w:i w:val="0"/>
          <w:color w:val="1C1A17"/>
          <w:sz w:val="21"/>
        </w:rPr>
        <w:t xml:space="preserve"> L'appui est réessayé ; les positions accumulées localement sont transmises au retour du réseau.</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départ appartient exclusivement au voyageur du mode, vérifié côté serveur et non seulement masqué dans l'interface.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L'absence de confirmation est une décision technique déguisée en choix d'ergonomie : ce bouton ouvre la fenêtre de preuve, et un geste de plus est un geste qu'on saute — donc un trajet qu'on ne saura pas prouver.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Les relevés antérieurs à l'horodatage de départ sont ignorés par la preuve.</w:t>
      </w:r>
    </w:p>
    <w:p>
      <w:pPr>
        <w:spacing w:before="320" w:after="100"/>
        <w:keepNext w:val="1"/>
      </w:pPr>
      <w:r>
        <w:rPr>
          <w:rFonts w:ascii="IBM Plex Mono" w:hAnsi="IBM Plex Mono" w:cs="IBM Plex Mono" w:eastAsia="IBM Plex Mono"/>
          <w:b/>
          <w:i w:val="0"/>
          <w:color w:val="C62A26"/>
          <w:sz w:val="26"/>
        </w:rPr>
        <w:t xml:space="preserve">5.7   </w:t>
      </w:r>
      <w:r>
        <w:rPr>
          <w:rFonts w:ascii="Bebas Neue" w:hAnsi="Bebas Neue" w:cs="Bebas Neue" w:eastAsia="Bebas Neue"/>
          <w:b w:val="0"/>
          <w:i w:val="0"/>
          <w:color w:val="1C1A17"/>
          <w:sz w:val="36"/>
          <w:spacing w:val="10"/>
        </w:rPr>
        <w:t>UC-07 — Suivre l'intervention en temps réel</w:t>
      </w:r>
    </w:p>
    <w:p>
      <w:pPr>
        <w:spacing w:before="200" w:after="80"/>
        <w:keepNext w:val="1"/>
      </w:pPr>
      <w:r>
        <w:rPr>
          <w:rFonts w:ascii="IBM Plex Sans" w:hAnsi="IBM Plex Sans" w:cs="IBM Plex Sans" w:eastAsia="IBM Plex Sans"/>
          <w:b/>
          <w:i w:val="0"/>
          <w:color w:val="C62A26"/>
          <w:sz w:val="18"/>
        </w:rPr>
        <w:t xml:space="preserve">Tableau 11 — </w:t>
      </w:r>
      <w:r>
        <w:rPr>
          <w:rFonts w:ascii="IBM Plex Sans" w:hAnsi="IBM Plex Sans" w:cs="IBM Plex Sans" w:eastAsia="IBM Plex Sans"/>
          <w:b w:val="0"/>
          <w:i w:val="0"/>
          <w:color w:val="55514A"/>
          <w:sz w:val="18"/>
        </w:rPr>
        <w:t>Fiche du cas d'utilisation UC-07</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Montrer aux deux parties où en est l'intervention, avec un temps d'arrivée estimé partagé et une donnée dont la fraîcheur est affichée honnêtement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 et Garagiste, simultanément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Service de tuiles cartographiques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canal temps réel,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La demande est en route ; les deux parties ont accès à la salle de la demande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Le passage en route, ou la réouverture de l'écran de suivi</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Les deux parties voient la même position, le même temps d'arrivée estimé et le même âge de la donnée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Le suivi bascule en mode dégradé, avec une donnée exacte mais moins fraîche et un bandeau qui le dit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Continue pendant toute l'intervention</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Chaque application rejoint la salle de la demande après vérification du jeton et contrôle d'appartenance.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serveur envoie l'état courant et le dernier numéro de séquence connu.</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téléphone du voyageur émet sa position au plus toutes les quatre secondes, et seulement au-delà de quinze mètres parcourus.</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serveur enregistre le relevé, calcule les deux temps d'arrivée estimés et les diffuse aux deux parties avec l'horodatage d'émission.</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Les deux écrans affichent la progression, la distance restante et l'âge réel de la dernière donnée reçue.</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Véhicule à l'arrêt.</w:t>
      </w:r>
      <w:r>
        <w:rPr>
          <w:rFonts w:ascii="IBM Plex Serif" w:hAnsi="IBM Plex Serif" w:cs="IBM Plex Serif" w:eastAsia="IBM Plex Serif"/>
          <w:b w:val="0"/>
          <w:i w:val="0"/>
          <w:color w:val="1C1A17"/>
          <w:sz w:val="21"/>
        </w:rPr>
        <w:t xml:space="preserve"> Le seuil de quinze mètres suspend l'émission. Ce silence n'est pas une panne : une trace qui s'arrête au lieu de s'éloigner est la signature d'une arrivée, et c'est le signal le plus fiable dont dispose la preuve.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Mode « je vais au garage ».</w:t>
      </w:r>
      <w:r>
        <w:rPr>
          <w:rFonts w:ascii="IBM Plex Serif" w:hAnsi="IBM Plex Serif" w:cs="IBM Plex Serif" w:eastAsia="IBM Plex Serif"/>
          <w:b w:val="0"/>
          <w:i w:val="0"/>
          <w:color w:val="1C1A17"/>
          <w:sz w:val="21"/>
        </w:rPr>
        <w:t xml:space="preserve"> Les mêmes composants servent, mais trois libellés changent de sujet : « arrive dans » devient « vous arrivez dans », « en route » devient « vous roulez », « sur place » devient « à l'atelier ».</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Approche de la destination.</w:t>
      </w:r>
      <w:r>
        <w:rPr>
          <w:rFonts w:ascii="IBM Plex Serif" w:hAnsi="IBM Plex Serif" w:cs="IBM Plex Serif" w:eastAsia="IBM Plex Serif"/>
          <w:b w:val="0"/>
          <w:i w:val="0"/>
          <w:color w:val="1C1A17"/>
          <w:sz w:val="21"/>
        </w:rPr>
        <w:t xml:space="preserve"> Sous cent vingt mètres, une feuille de proximité remplace la barre d'action et pose la question de la reconnaissance mutuelle.</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Canal temps réel interrompu.</w:t>
      </w:r>
      <w:r>
        <w:rPr>
          <w:rFonts w:ascii="IBM Plex Serif" w:hAnsi="IBM Plex Serif" w:cs="IBM Plex Serif" w:eastAsia="IBM Plex Serif"/>
          <w:b w:val="0"/>
          <w:i w:val="0"/>
          <w:color w:val="1C1A17"/>
          <w:sz w:val="21"/>
        </w:rPr>
        <w:t xml:space="preserve"> L'application bascule sur une interrogation périodique de la route d'état, toutes les quinze secondes, et affiche un bandeau de connexion dégradée.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Retour du réseau.</w:t>
      </w:r>
      <w:r>
        <w:rPr>
          <w:rFonts w:ascii="IBM Plex Serif" w:hAnsi="IBM Plex Serif" w:cs="IBM Plex Serif" w:eastAsia="IBM Plex Serif"/>
          <w:b w:val="0"/>
          <w:i w:val="0"/>
          <w:color w:val="1C1A17"/>
          <w:sz w:val="21"/>
        </w:rPr>
        <w:t xml:space="preserve"> Le client se réannonce avec son dernier numéro de séquence ; le serveur rejoue les événements manquants dans l'ordre. Aucun état n'est perdu.</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Position aberrante.</w:t>
      </w:r>
      <w:r>
        <w:rPr>
          <w:rFonts w:ascii="IBM Plex Serif" w:hAnsi="IBM Plex Serif" w:cs="IBM Plex Serif" w:eastAsia="IBM Plex Serif"/>
          <w:b w:val="0"/>
          <w:i w:val="0"/>
          <w:color w:val="1C1A17"/>
          <w:sz w:val="21"/>
        </w:rPr>
        <w:t xml:space="preserve"> Un relevé impliquant plus de cent cinquante kilomètres par heure est rejeté avant d'atteindre l'affichage.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E4 — Tentative d'accès par un tiers.</w:t>
      </w:r>
      <w:r>
        <w:rPr>
          <w:rFonts w:ascii="IBM Plex Serif" w:hAnsi="IBM Plex Serif" w:cs="IBM Plex Serif" w:eastAsia="IBM Plex Serif"/>
          <w:b w:val="0"/>
          <w:i w:val="0"/>
          <w:color w:val="1C1A17"/>
          <w:sz w:val="21"/>
        </w:rPr>
        <w:t xml:space="preserve"> La salle est refusée : l'appartenance à la demande est vérifiée, pas seulement l'authentification.</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temps d'arrivée estimé est calculé par le serveur, jamais par l'appareil : les deux parties doivent voir le même chiffre, et cet estimé alimente la détection de fraude.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L'indicateur de fraîcheur affiche la différence entre l'heure courante et l'horodatage d'émission, c'est-à-dire une mesure et non une promesse.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journal des événements est en ajout seul et numéroté ; c'est ce qui rend le rattrapage possible.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route d'état du mode dégradé est exactement celle du premier chargement, afin qu'aucun chemin de code rarement emprunté ne dorme jusqu'au jour de la coupure.</w:t>
      </w:r>
    </w:p>
    <w:p>
      <w:pPr>
        <w:spacing w:before="320" w:after="100"/>
        <w:keepNext w:val="1"/>
      </w:pPr>
      <w:r>
        <w:rPr>
          <w:rFonts w:ascii="IBM Plex Mono" w:hAnsi="IBM Plex Mono" w:cs="IBM Plex Mono" w:eastAsia="IBM Plex Mono"/>
          <w:b/>
          <w:i w:val="0"/>
          <w:color w:val="C62A26"/>
          <w:sz w:val="26"/>
        </w:rPr>
        <w:t xml:space="preserve">5.8   </w:t>
      </w:r>
      <w:r>
        <w:rPr>
          <w:rFonts w:ascii="Bebas Neue" w:hAnsi="Bebas Neue" w:cs="Bebas Neue" w:eastAsia="Bebas Neue"/>
          <w:b w:val="0"/>
          <w:i w:val="0"/>
          <w:color w:val="1C1A17"/>
          <w:sz w:val="36"/>
          <w:spacing w:val="10"/>
        </w:rPr>
        <w:t>UC-08 — Confirmer l'arrivée</w:t>
      </w:r>
    </w:p>
    <w:p>
      <w:pPr>
        <w:spacing w:before="200" w:after="80"/>
        <w:keepNext w:val="1"/>
      </w:pPr>
      <w:r>
        <w:rPr>
          <w:rFonts w:ascii="IBM Plex Sans" w:hAnsi="IBM Plex Sans" w:cs="IBM Plex Sans" w:eastAsia="IBM Plex Sans"/>
          <w:b/>
          <w:i w:val="0"/>
          <w:color w:val="C62A26"/>
          <w:sz w:val="18"/>
        </w:rPr>
        <w:t xml:space="preserve">Tableau 12 — </w:t>
      </w:r>
      <w:r>
        <w:rPr>
          <w:rFonts w:ascii="IBM Plex Sans" w:hAnsi="IBM Plex Sans" w:cs="IBM Plex Sans" w:eastAsia="IBM Plex Sans"/>
          <w:b w:val="0"/>
          <w:i w:val="0"/>
          <w:color w:val="55514A"/>
          <w:sz w:val="18"/>
        </w:rPr>
        <w:t>Fiche du cas d'utilisation UC-08</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Faire constater par les deux parties que la rencontre a eu lieu, clore l'intervention et ouvrir les droits qui en découlent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 et Garagiste, chacun de son côté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Aucun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 base de données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 — c'est le cas qui fonde toute la chaîne de confiance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La demande est en route ou en attente de la seconde confirmation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Le franchissement du seuil de proximité, ou l'appui volontaire sur la confirmation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À la première confirmation, la demande passe en attente de la seconde ; à la seconde, elle est close, un mouvement de fidélité différé est créé et une ligne est inscrite au registre des commissions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L'état est inchangé ; aucun point n'est crédité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Deux fois par intervention aboutie</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La distance entre les deux parties passe sous cent vingt mètres.</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Les deux applications basculent ensemble sur la feuille de reconnaissance mutuelle.</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La première partie confirme. La demande passe en attente de la seconde confirmation.</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La seconde partie confirme. Le serveur pose le second horodatage.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La base vérifie que les deux horodatages sont présents avant d'autoriser la clôture.</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val="0"/>
          <w:i w:val="0"/>
          <w:color w:val="1C1A17"/>
          <w:sz w:val="20"/>
        </w:rPr>
        <w:t>Le serveur crée un mouvement de fidélité à l'état différé, muni de sa clé d'idempotence.</w:t>
      </w:r>
    </w:p>
    <w:p>
      <w:pPr>
        <w:spacing w:after="60" w:line="302" w:lineRule="auto"/>
        <w:ind w:left="595" w:hanging="595"/>
        <w:jc w:val="both"/>
      </w:pPr>
      <w:r>
        <w:rPr>
          <w:rFonts w:ascii="IBM Plex Mono" w:hAnsi="IBM Plex Mono" w:cs="IBM Plex Mono" w:eastAsia="IBM Plex Mono"/>
          <w:b/>
          <w:i w:val="0"/>
          <w:color w:val="C62A26"/>
          <w:sz w:val="19"/>
        </w:rPr>
        <w:t xml:space="preserve"> 7.  </w:t>
      </w:r>
      <w:r>
        <w:rPr>
          <w:rFonts w:ascii="IBM Plex Serif" w:hAnsi="IBM Plex Serif" w:cs="IBM Plex Serif" w:eastAsia="IBM Plex Serif"/>
          <w:b w:val="0"/>
          <w:i w:val="0"/>
          <w:color w:val="1C1A17"/>
          <w:sz w:val="20"/>
        </w:rPr>
        <w:t>Le serveur calcule la preuve d'arrivée à partir de la trace du voyageur et inscrit une ligne au registre des commissions, y compris lorsque rien n'est dû.</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Confirmation manuelle hors seuil.</w:t>
      </w:r>
      <w:r>
        <w:rPr>
          <w:rFonts w:ascii="IBM Plex Serif" w:hAnsi="IBM Plex Serif" w:cs="IBM Plex Serif" w:eastAsia="IBM Plex Serif"/>
          <w:b w:val="0"/>
          <w:i w:val="0"/>
          <w:color w:val="1C1A17"/>
          <w:sz w:val="21"/>
        </w:rPr>
        <w:t xml:space="preserve"> Chaque partie peut confirmer sans attendre le franchissement du seuil, par exemple lorsque la précision du signal est mauvaise.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Confirmation rejouée.</w:t>
      </w:r>
      <w:r>
        <w:rPr>
          <w:rFonts w:ascii="IBM Plex Serif" w:hAnsi="IBM Plex Serif" w:cs="IBM Plex Serif" w:eastAsia="IBM Plex Serif"/>
          <w:b w:val="0"/>
          <w:i w:val="0"/>
          <w:color w:val="1C1A17"/>
          <w:sz w:val="21"/>
        </w:rPr>
        <w:t xml:space="preserve"> L'opération est idempotente : un renvoi réseau ne produit aucun effet supplémentaire.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Une seule partie confirme.</w:t>
      </w:r>
      <w:r>
        <w:rPr>
          <w:rFonts w:ascii="IBM Plex Serif" w:hAnsi="IBM Plex Serif" w:cs="IBM Plex Serif" w:eastAsia="IBM Plex Serif"/>
          <w:b w:val="0"/>
          <w:i w:val="0"/>
          <w:color w:val="1C1A17"/>
          <w:sz w:val="21"/>
        </w:rPr>
        <w:t xml:space="preserve"> La demande reste en attente de la seconde. Elle n'est pas close, aucun point n'est crédité, et aucun avis ne peut être publié.</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Tentative de clôture sans les deux confirmations.</w:t>
      </w:r>
      <w:r>
        <w:rPr>
          <w:rFonts w:ascii="IBM Plex Serif" w:hAnsi="IBM Plex Serif" w:cs="IBM Plex Serif" w:eastAsia="IBM Plex Serif"/>
          <w:b w:val="0"/>
          <w:i w:val="0"/>
          <w:color w:val="1C1A17"/>
          <w:sz w:val="21"/>
        </w:rPr>
        <w:t xml:space="preserve"> Rejet par la base, quelle que soit la voie empruntée par le code.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Preuve insuffisante.</w:t>
      </w:r>
      <w:r>
        <w:rPr>
          <w:rFonts w:ascii="IBM Plex Serif" w:hAnsi="IBM Plex Serif" w:cs="IBM Plex Serif" w:eastAsia="IBM Plex Serif"/>
          <w:b w:val="0"/>
          <w:i w:val="0"/>
          <w:color w:val="1C1A17"/>
          <w:sz w:val="21"/>
        </w:rPr>
        <w:t xml:space="preserve"> La ligne du registre est écrite malgré tout, avec un niveau de preuve faible ou nul et un motif en clair. Une ligne manquante ne se compte pas ; c'est tout l'intérêt d'un registre d'observation.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Signal indisponible chez l'une des parties.</w:t>
      </w:r>
      <w:r>
        <w:rPr>
          <w:rFonts w:ascii="IBM Plex Serif" w:hAnsi="IBM Plex Serif" w:cs="IBM Plex Serif" w:eastAsia="IBM Plex Serif"/>
          <w:b w:val="0"/>
          <w:i w:val="0"/>
          <w:color w:val="1C1A17"/>
          <w:sz w:val="21"/>
        </w:rPr>
        <w:t xml:space="preserve"> La confirmation manuelle reste possible ; la preuve, elle, sera d'autant plus faible, ce qui est le comportement voulu.</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Une demande ne peut pas être close sans les deux confirmations — contrainte </w:t>
      </w:r>
      <w:r>
        <w:rPr>
          <w:rFonts w:ascii="IBM Plex Mono" w:hAnsi="IBM Plex Mono" w:cs="IBM Plex Mono" w:eastAsia="IBM Plex Mono"/>
          <w:b w:val="0"/>
          <w:i w:val="0"/>
          <w:color w:val="55514A"/>
          <w:sz w:val="18"/>
        </w:rPr>
        <w:t>closed_requires_both_arrivals</w:t>
      </w:r>
      <w:r>
        <w:rPr>
          <w:rFonts w:ascii="IBM Plex Serif" w:hAnsi="IBM Plex Serif" w:cs="IBM Plex Serif" w:eastAsia="IBM Plex Serif"/>
          <w:b w:val="0"/>
          <w:i w:val="0"/>
          <w:color w:val="1C1A17"/>
          <w:sz w:val="21"/>
        </w:rPr>
        <w:t>. C'est la garde la plus importante du système.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double confirmation ne crée aucun droit à facturation : elle hisse une preuve déjà acquise d'un niveau. Dès qu'une confirmation conditionnerait la facture, le débiteur aurait intérêt à la retenir.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crédit de fidélité est différé de vingt-quatre heures, ce qui laisse une fenêtre d'annulation.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clé d'idempotence du mouvement de fidélité interdit tout double crédit.</w:t>
      </w:r>
    </w:p>
    <w:p>
      <w:pPr>
        <w:spacing w:before="320" w:after="100"/>
        <w:keepNext w:val="1"/>
      </w:pPr>
      <w:r>
        <w:rPr>
          <w:rFonts w:ascii="IBM Plex Mono" w:hAnsi="IBM Plex Mono" w:cs="IBM Plex Mono" w:eastAsia="IBM Plex Mono"/>
          <w:b/>
          <w:i w:val="0"/>
          <w:color w:val="C62A26"/>
          <w:sz w:val="26"/>
        </w:rPr>
        <w:t xml:space="preserve">5.9   </w:t>
      </w:r>
      <w:r>
        <w:rPr>
          <w:rFonts w:ascii="Bebas Neue" w:hAnsi="Bebas Neue" w:cs="Bebas Neue" w:eastAsia="Bebas Neue"/>
          <w:b w:val="0"/>
          <w:i w:val="0"/>
          <w:color w:val="1C1A17"/>
          <w:sz w:val="36"/>
          <w:spacing w:val="10"/>
        </w:rPr>
        <w:t>UC-09 — Publier un avis</w:t>
      </w:r>
    </w:p>
    <w:p>
      <w:pPr>
        <w:spacing w:before="200" w:after="80"/>
        <w:keepNext w:val="1"/>
      </w:pPr>
      <w:r>
        <w:rPr>
          <w:rFonts w:ascii="IBM Plex Sans" w:hAnsi="IBM Plex Sans" w:cs="IBM Plex Sans" w:eastAsia="IBM Plex Sans"/>
          <w:b/>
          <w:i w:val="0"/>
          <w:color w:val="C62A26"/>
          <w:sz w:val="18"/>
        </w:rPr>
        <w:t xml:space="preserve">Tableau 13 — </w:t>
      </w:r>
      <w:r>
        <w:rPr>
          <w:rFonts w:ascii="IBM Plex Sans" w:hAnsi="IBM Plex Sans" w:cs="IBM Plex Sans" w:eastAsia="IBM Plex Sans"/>
          <w:b w:val="0"/>
          <w:i w:val="0"/>
          <w:color w:val="55514A"/>
          <w:sz w:val="18"/>
        </w:rPr>
        <w:t>Fiche du cas d'utilisation UC-09</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Recueillir une note et un commentaire sur une intervention réellement terminée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Aucun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Sous-objectif consécutif à la clôture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Une demande du client, avec ce garage, est close, et aucun avis n'a encore été publié pour cette demande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 proposition affichée après la clôture, ou l'ouverture de l'historique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Un avis est enregistré, la note agrégée du garage est recalculée, et un mouvement de fidélité est créé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Aucun avis n'est enregistré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Au plus une fois par intervention close</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client ouvre la proposition d'avis depuis l'écran de clôture ou depuis son historique.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client attribue une note de une à cinq étoiles et rédige éventuellement un commentaire.</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serveur vérifie que la demande est close et qu'aucun avis ne lui est déjà rattaché.</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serveur enregistre l'avis. Un déclencheur recalcule la note agrégée et le nombre d'avis du garage.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Un mouvement de fidélité est créé au titre de l'avis publié.</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Client fidèle.</w:t>
      </w:r>
      <w:r>
        <w:rPr>
          <w:rFonts w:ascii="IBM Plex Serif" w:hAnsi="IBM Plex Serif" w:cs="IBM Plex Serif" w:eastAsia="IBM Plex Serif"/>
          <w:b w:val="0"/>
          <w:i w:val="0"/>
          <w:color w:val="1C1A17"/>
          <w:sz w:val="21"/>
        </w:rPr>
        <w:t xml:space="preserve"> Un client qui revient trois fois chez le même garage publie trois avis, puisque la clé porte sur la demande et non sur le couple client-garage.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Avis différé.</w:t>
      </w:r>
      <w:r>
        <w:rPr>
          <w:rFonts w:ascii="IBM Plex Serif" w:hAnsi="IBM Plex Serif" w:cs="IBM Plex Serif" w:eastAsia="IBM Plex Serif"/>
          <w:b w:val="0"/>
          <w:i w:val="0"/>
          <w:color w:val="1C1A17"/>
          <w:sz w:val="21"/>
        </w:rPr>
        <w:t xml:space="preserve"> Le client ferme l'écran sans noter et publie plus tard depuis l'historique.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Note sans commentaire.</w:t>
      </w:r>
      <w:r>
        <w:rPr>
          <w:rFonts w:ascii="IBM Plex Serif" w:hAnsi="IBM Plex Serif" w:cs="IBM Plex Serif" w:eastAsia="IBM Plex Serif"/>
          <w:b w:val="0"/>
          <w:i w:val="0"/>
          <w:color w:val="1C1A17"/>
          <w:sz w:val="21"/>
        </w:rPr>
        <w:t xml:space="preserve"> Le commentaire est facultatif ; la note ne l'est pas.</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Demande non close.</w:t>
      </w:r>
      <w:r>
        <w:rPr>
          <w:rFonts w:ascii="IBM Plex Serif" w:hAnsi="IBM Plex Serif" w:cs="IBM Plex Serif" w:eastAsia="IBM Plex Serif"/>
          <w:b w:val="0"/>
          <w:i w:val="0"/>
          <w:color w:val="1C1A17"/>
          <w:sz w:val="21"/>
        </w:rPr>
        <w:t xml:space="preserve"> Le serveur refuse et l'interface désactive le bouton avec une explication, plutôt que de le masquer.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Avis déjà publié.</w:t>
      </w:r>
      <w:r>
        <w:rPr>
          <w:rFonts w:ascii="IBM Plex Serif" w:hAnsi="IBM Plex Serif" w:cs="IBM Plex Serif" w:eastAsia="IBM Plex Serif"/>
          <w:b w:val="0"/>
          <w:i w:val="0"/>
          <w:color w:val="1C1A17"/>
          <w:sz w:val="21"/>
        </w:rPr>
        <w:t xml:space="preserve"> Rejet par la contrainte d'unicité portant sur la demande.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Note hors bornes.</w:t>
      </w:r>
      <w:r>
        <w:rPr>
          <w:rFonts w:ascii="IBM Plex Serif" w:hAnsi="IBM Plex Serif" w:cs="IBM Plex Serif" w:eastAsia="IBM Plex Serif"/>
          <w:b w:val="0"/>
          <w:i w:val="0"/>
          <w:color w:val="1C1A17"/>
          <w:sz w:val="21"/>
        </w:rPr>
        <w:t xml:space="preserve"> Rejet par la contrainte de vérification de la base.</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Un avis exige une intervention réellement close — clé unique sur la demande.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note agrégée est recalculée par un déclencheur couvrant l'insertion, la modification et la suppression, afin qu'une suppression d'avis ou de compte ne laisse pas une moyenne définitivement fausse.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note utilisée pour le classement est pondérée, celle affichée sur la fiche est brute.</w:t>
      </w:r>
    </w:p>
    <w:p>
      <w:pPr>
        <w:spacing w:before="320" w:after="100"/>
        <w:keepNext w:val="1"/>
      </w:pPr>
      <w:r>
        <w:rPr>
          <w:rFonts w:ascii="IBM Plex Mono" w:hAnsi="IBM Plex Mono" w:cs="IBM Plex Mono" w:eastAsia="IBM Plex Mono"/>
          <w:b/>
          <w:i w:val="0"/>
          <w:color w:val="C62A26"/>
          <w:sz w:val="26"/>
        </w:rPr>
        <w:t xml:space="preserve">5.10   </w:t>
      </w:r>
      <w:r>
        <w:rPr>
          <w:rFonts w:ascii="Bebas Neue" w:hAnsi="Bebas Neue" w:cs="Bebas Neue" w:eastAsia="Bebas Neue"/>
          <w:b w:val="0"/>
          <w:i w:val="0"/>
          <w:color w:val="1C1A17"/>
          <w:sz w:val="36"/>
          <w:spacing w:val="10"/>
        </w:rPr>
        <w:t>UC-10 — Consulter sa fidélité et parrainer</w:t>
      </w:r>
    </w:p>
    <w:p>
      <w:pPr>
        <w:spacing w:before="200" w:after="80"/>
        <w:keepNext w:val="1"/>
      </w:pPr>
      <w:r>
        <w:rPr>
          <w:rFonts w:ascii="IBM Plex Sans" w:hAnsi="IBM Plex Sans" w:cs="IBM Plex Sans" w:eastAsia="IBM Plex Sans"/>
          <w:b/>
          <w:i w:val="0"/>
          <w:color w:val="C62A26"/>
          <w:sz w:val="18"/>
        </w:rPr>
        <w:t xml:space="preserve">Tableau 14 — </w:t>
      </w:r>
      <w:r>
        <w:rPr>
          <w:rFonts w:ascii="IBM Plex Sans" w:hAnsi="IBM Plex Sans" w:cs="IBM Plex Sans" w:eastAsia="IBM Plex Sans"/>
          <w:b w:val="0"/>
          <w:i w:val="0"/>
          <w:color w:val="55514A"/>
          <w:sz w:val="18"/>
        </w:rPr>
        <w:t>Fiche du cas d'utilisation UC-10</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Présenter le solde de points, le grade, la progression et l'historique des mouvements ; permettre le rattachement à un parrain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Le parrain, indirectement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Le client est authentifié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L'ouverture de l'écran de fidélité depuis le tiroir latéral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Le solde, le grade et la progression sont affichés ; le cas échéant, un rattachement de parrainage est enregistré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L'affichage bascule sur le cache local, horodaté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Occasionnelle</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client ouvre l'écran de fidélité.</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serveur renvoie le solde, le grade courant, la progression vers le grade suivant et les derniers mouvements.</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L'interface présente le solde comme une monnaie et le grade comme une ancienneté, en affichant la progression en nombre de réparations et non en points.</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Parrainage.</w:t>
      </w:r>
      <w:r>
        <w:rPr>
          <w:rFonts w:ascii="IBM Plex Serif" w:hAnsi="IBM Plex Serif" w:cs="IBM Plex Serif" w:eastAsia="IBM Plex Serif"/>
          <w:b w:val="0"/>
          <w:i w:val="0"/>
          <w:color w:val="1C1A17"/>
          <w:sz w:val="21"/>
        </w:rPr>
        <w:t xml:space="preserve"> Le client saisit un code de parrainage. Le rattachement est enregistré ; les points ne sont crédités qu'à la première intervention terminée du filleul.</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Grade maximum atteint.</w:t>
      </w:r>
      <w:r>
        <w:rPr>
          <w:rFonts w:ascii="IBM Plex Serif" w:hAnsi="IBM Plex Serif" w:cs="IBM Plex Serif" w:eastAsia="IBM Plex Serif"/>
          <w:b w:val="0"/>
          <w:i w:val="0"/>
          <w:color w:val="1C1A17"/>
          <w:sz w:val="21"/>
        </w:rPr>
        <w:t xml:space="preserve"> La progression affiche l'état complet sans grade suivant.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Mouvements différés.</w:t>
      </w:r>
      <w:r>
        <w:rPr>
          <w:rFonts w:ascii="IBM Plex Serif" w:hAnsi="IBM Plex Serif" w:cs="IBM Plex Serif" w:eastAsia="IBM Plex Serif"/>
          <w:b w:val="0"/>
          <w:i w:val="0"/>
          <w:color w:val="1C1A17"/>
          <w:sz w:val="21"/>
        </w:rPr>
        <w:t xml:space="preserve"> Un mouvement à l'état différé est affiché comme tel, avec sa date de confirmation prévue.</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Code de parrainage inconnu.</w:t>
      </w:r>
      <w:r>
        <w:rPr>
          <w:rFonts w:ascii="IBM Plex Serif" w:hAnsi="IBM Plex Serif" w:cs="IBM Plex Serif" w:eastAsia="IBM Plex Serif"/>
          <w:b w:val="0"/>
          <w:i w:val="0"/>
          <w:color w:val="1C1A17"/>
          <w:sz w:val="21"/>
        </w:rPr>
        <w:t xml:space="preserve"> Le serveur refuse avec un code d'erreur explicite.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Auto-parrainage.</w:t>
      </w:r>
      <w:r>
        <w:rPr>
          <w:rFonts w:ascii="IBM Plex Serif" w:hAnsi="IBM Plex Serif" w:cs="IBM Plex Serif" w:eastAsia="IBM Plex Serif"/>
          <w:b w:val="0"/>
          <w:i w:val="0"/>
          <w:color w:val="1C1A17"/>
          <w:sz w:val="21"/>
        </w:rPr>
        <w:t xml:space="preserve"> Rejet par la contrainte </w:t>
      </w:r>
      <w:r>
        <w:rPr>
          <w:rFonts w:ascii="IBM Plex Mono" w:hAnsi="IBM Plex Mono" w:cs="IBM Plex Mono" w:eastAsia="IBM Plex Mono"/>
          <w:b w:val="0"/>
          <w:i w:val="0"/>
          <w:color w:val="55514A"/>
          <w:sz w:val="18"/>
        </w:rPr>
        <w:t>no_self_referral</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Client déjà parrainé.</w:t>
      </w:r>
      <w:r>
        <w:rPr>
          <w:rFonts w:ascii="IBM Plex Serif" w:hAnsi="IBM Plex Serif" w:cs="IBM Plex Serif" w:eastAsia="IBM Plex Serif"/>
          <w:b w:val="0"/>
          <w:i w:val="0"/>
          <w:color w:val="1C1A17"/>
          <w:sz w:val="21"/>
        </w:rPr>
        <w:t xml:space="preserve"> Le rattachement est refusé, un compte n'ayant qu'un parrain.</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Les points et les grades sont deux mesures distinctes : les premiers se dépensent, les seconds non. Les faire dépendre l'un de l'autre rétrograderait quelqu'un qui convertit ses points.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grade se gagne en réparations terminées, donc en doubles confirmations d'arrivée.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 solde affiché est un cache ; la vérité comptable est la somme du journal des mouvements.</w:t>
      </w:r>
    </w:p>
    <w:p>
      <w:pPr>
        <w:spacing w:before="320" w:after="100"/>
        <w:keepNext w:val="1"/>
      </w:pPr>
      <w:r>
        <w:rPr>
          <w:rFonts w:ascii="IBM Plex Mono" w:hAnsi="IBM Plex Mono" w:cs="IBM Plex Mono" w:eastAsia="IBM Plex Mono"/>
          <w:b/>
          <w:i w:val="0"/>
          <w:color w:val="C62A26"/>
          <w:sz w:val="26"/>
        </w:rPr>
        <w:t xml:space="preserve">5.11   </w:t>
      </w:r>
      <w:r>
        <w:rPr>
          <w:rFonts w:ascii="Bebas Neue" w:hAnsi="Bebas Neue" w:cs="Bebas Neue" w:eastAsia="Bebas Neue"/>
          <w:b w:val="0"/>
          <w:i w:val="0"/>
          <w:color w:val="1C1A17"/>
          <w:sz w:val="36"/>
          <w:spacing w:val="10"/>
        </w:rPr>
        <w:t>UC-11 — Inscrire son garage</w:t>
      </w:r>
    </w:p>
    <w:p>
      <w:pPr>
        <w:spacing w:before="200" w:after="80"/>
        <w:keepNext w:val="1"/>
      </w:pPr>
      <w:r>
        <w:rPr>
          <w:rFonts w:ascii="IBM Plex Sans" w:hAnsi="IBM Plex Sans" w:cs="IBM Plex Sans" w:eastAsia="IBM Plex Sans"/>
          <w:b/>
          <w:i w:val="0"/>
          <w:color w:val="C62A26"/>
          <w:sz w:val="18"/>
        </w:rPr>
        <w:t xml:space="preserve">Tableau 15 — </w:t>
      </w:r>
      <w:r>
        <w:rPr>
          <w:rFonts w:ascii="IBM Plex Sans" w:hAnsi="IBM Plex Sans" w:cs="IBM Plex Sans" w:eastAsia="IBM Plex Sans"/>
          <w:b w:val="0"/>
          <w:i w:val="0"/>
          <w:color w:val="55514A"/>
          <w:sz w:val="18"/>
        </w:rPr>
        <w:t>Fiche du cas d'utilisation UC-11</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Permettre à un professionnel de déposer un dossier de garage et de recevoir des demandes une fois vérifié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Garagiste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Administrateur, pour la vérification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La personne est authentifiée et ne détient aucun garage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L'entrée « Devenir garagiste » du menu de compte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Un garage existe à l'état non vérifié, donc inactif ; le compte est promu au rôle de propriétaire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Aucun garage n'est créé et le rôle du compte est inchangé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Une fois par professionnel</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garagiste renseigne le nom de l'atelier, sa position, son quartier, son téléphone, son adresse électronique, ses services et ses horaires.</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Le serveur vérifie qu'aucun garage n'est déjà rattaché à ce compte.</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serveur enregistre le garage sans date de vérification, donc inactif, et promeut le compte.</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L'administrateur instruit le dossier et pose la date de vérification, ce qui rend le garage actif.</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Certification.</w:t>
      </w:r>
      <w:r>
        <w:rPr>
          <w:rFonts w:ascii="IBM Plex Serif" w:hAnsi="IBM Plex Serif" w:cs="IBM Plex Serif" w:eastAsia="IBM Plex Serif"/>
          <w:b w:val="0"/>
          <w:i w:val="0"/>
          <w:color w:val="1C1A17"/>
          <w:sz w:val="21"/>
        </w:rPr>
        <w:t xml:space="preserve"> Après vérification, l'administrateur peut prononcer la certification, qui est un acte distinct : vérifier, c'est constater que le garage existe ; certifier, c'est répondre de sa qualité.</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Modification de la fiche.</w:t>
      </w:r>
      <w:r>
        <w:rPr>
          <w:rFonts w:ascii="IBM Plex Serif" w:hAnsi="IBM Plex Serif" w:cs="IBM Plex Serif" w:eastAsia="IBM Plex Serif"/>
          <w:b w:val="0"/>
          <w:i w:val="0"/>
          <w:color w:val="1C1A17"/>
          <w:sz w:val="21"/>
        </w:rPr>
        <w:t xml:space="preserve"> Le propriétaire met à jour ses services, ses horaires ou ses photographies sans repasser par la vérification.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Suppression.</w:t>
      </w:r>
      <w:r>
        <w:rPr>
          <w:rFonts w:ascii="IBM Plex Serif" w:hAnsi="IBM Plex Serif" w:cs="IBM Plex Serif" w:eastAsia="IBM Plex Serif"/>
          <w:b w:val="0"/>
          <w:i w:val="0"/>
          <w:color w:val="1C1A17"/>
          <w:sz w:val="21"/>
        </w:rPr>
        <w:t xml:space="preserve"> Le propriétaire supprime son garage ; le rattachement au compte est libéré.</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Double envoi du formulaire.</w:t>
      </w:r>
      <w:r>
        <w:rPr>
          <w:rFonts w:ascii="IBM Plex Serif" w:hAnsi="IBM Plex Serif" w:cs="IBM Plex Serif" w:eastAsia="IBM Plex Serif"/>
          <w:b w:val="0"/>
          <w:i w:val="0"/>
          <w:color w:val="1C1A17"/>
          <w:sz w:val="21"/>
        </w:rPr>
        <w:t xml:space="preserve"> Deux envois séparés d'une seconde passeraient tous deux la vérification applicative avant qu'aucun n'ait inséré. L'index d'unicité rend cette situation impossible, ce qui évite un garage fantôme que son propriétaire ne verrait jamais mais qui remonterait dans les recherches.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Tentative d'activation avant vérification.</w:t>
      </w:r>
      <w:r>
        <w:rPr>
          <w:rFonts w:ascii="IBM Plex Serif" w:hAnsi="IBM Plex Serif" w:cs="IBM Plex Serif" w:eastAsia="IBM Plex Serif"/>
          <w:b w:val="0"/>
          <w:i w:val="0"/>
          <w:color w:val="1C1A17"/>
          <w:sz w:val="21"/>
        </w:rPr>
        <w:t xml:space="preserve"> Rejet par la contrainte liant l'activité à la vérification.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Position hors zone couverte.</w:t>
      </w:r>
      <w:r>
        <w:rPr>
          <w:rFonts w:ascii="IBM Plex Serif" w:hAnsi="IBM Plex Serif" w:cs="IBM Plex Serif" w:eastAsia="IBM Plex Serif"/>
          <w:b w:val="0"/>
          <w:i w:val="0"/>
          <w:color w:val="1C1A17"/>
          <w:sz w:val="21"/>
        </w:rPr>
        <w:t xml:space="preserve"> Le dossier est accepté mais ne remontera dans aucune recherche tant que la zone n'est pas ouverte.</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 compte ne peut détenir qu'un seul garage — index </w:t>
      </w:r>
      <w:r>
        <w:rPr>
          <w:rFonts w:ascii="IBM Plex Mono" w:hAnsi="IBM Plex Mono" w:cs="IBM Plex Mono" w:eastAsia="IBM Plex Mono"/>
          <w:b w:val="0"/>
          <w:i w:val="0"/>
          <w:color w:val="55514A"/>
          <w:sz w:val="18"/>
        </w:rPr>
        <w:t>garages_owner_idx</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Un garage non vérifié ne peut pas être actif — contrainte </w:t>
      </w:r>
      <w:r>
        <w:rPr>
          <w:rFonts w:ascii="IBM Plex Mono" w:hAnsi="IBM Plex Mono" w:cs="IBM Plex Mono" w:eastAsia="IBM Plex Mono"/>
          <w:b w:val="0"/>
          <w:i w:val="0"/>
          <w:color w:val="55514A"/>
          <w:sz w:val="18"/>
        </w:rPr>
        <w:t>active_requires_verification</w:t>
      </w:r>
      <w:r>
        <w:rPr>
          <w:rFonts w:ascii="IBM Plex Serif" w:hAnsi="IBM Plex Serif" w:cs="IBM Plex Serif" w:eastAsia="IBM Plex Serif"/>
          <w:b w:val="0"/>
          <w:i w:val="0"/>
          <w:color w:val="1C1A17"/>
          <w:sz w:val="21"/>
        </w:rPr>
        <w:t>. Aucun chemin de code, y compris une future route de modification mal gardée, ne peut faire entrer un dossier en attente dans les résultats.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L'adresse électronique du garage sert à instruire le dossier ; le téléphone sert au client. Les confondre obligerait à appeler pour dire qu'un dossier est validé.</w:t>
      </w:r>
    </w:p>
    <w:p>
      <w:pPr>
        <w:spacing w:before="320" w:after="100"/>
        <w:keepNext w:val="1"/>
      </w:pPr>
      <w:r>
        <w:rPr>
          <w:rFonts w:ascii="IBM Plex Mono" w:hAnsi="IBM Plex Mono" w:cs="IBM Plex Mono" w:eastAsia="IBM Plex Mono"/>
          <w:b/>
          <w:i w:val="0"/>
          <w:color w:val="C62A26"/>
          <w:sz w:val="26"/>
        </w:rPr>
        <w:t xml:space="preserve">5.12   </w:t>
      </w:r>
      <w:r>
        <w:rPr>
          <w:rFonts w:ascii="Bebas Neue" w:hAnsi="Bebas Neue" w:cs="Bebas Neue" w:eastAsia="Bebas Neue"/>
          <w:b w:val="0"/>
          <w:i w:val="0"/>
          <w:color w:val="1C1A17"/>
          <w:sz w:val="36"/>
          <w:spacing w:val="10"/>
        </w:rPr>
        <w:t>UC-12 — Utiliser le mode conduite</w:t>
      </w:r>
    </w:p>
    <w:p>
      <w:pPr>
        <w:spacing w:before="200" w:after="80"/>
        <w:keepNext w:val="1"/>
      </w:pPr>
      <w:r>
        <w:rPr>
          <w:rFonts w:ascii="IBM Plex Sans" w:hAnsi="IBM Plex Sans" w:cs="IBM Plex Sans" w:eastAsia="IBM Plex Sans"/>
          <w:b/>
          <w:i w:val="0"/>
          <w:color w:val="C62A26"/>
          <w:sz w:val="18"/>
        </w:rPr>
        <w:t xml:space="preserve">Tableau 16 — </w:t>
      </w:r>
      <w:r>
        <w:rPr>
          <w:rFonts w:ascii="IBM Plex Sans" w:hAnsi="IBM Plex Sans" w:cs="IBM Plex Sans" w:eastAsia="IBM Plex Sans"/>
          <w:b w:val="0"/>
          <w:i w:val="0"/>
          <w:color w:val="55514A"/>
          <w:sz w:val="18"/>
        </w:rPr>
        <w:t>Fiche du cas d'utilisation UC-12</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Enregistrer une session de conduite, afficher la vitesse et les statistiques en direct, et produire des alertes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Client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Aucun. Aucun capteur externe n'est utilisé dans cette version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Application mobile, interface de programmation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utilisateur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Le client est authentifié et la localisation est disponible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L'appui sur « Démarrer » dans l'onglet Conduite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Une session est enregistrée localement puis synchronisée, avec sa distance, ses vitesses, son nombre d'alertes et son score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La session reste stockée localement et sera synchronisée plus tard</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Variable, à l'initiative du conducteur</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client démarre une session.</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L'application maintient l'écran allumé et affiche la vitesse en grands caractères monospacés.</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Le moteur d'alertes émet des événements crédibles, cohérents avec la vitesse courante.</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client met en pause ou arrête la session.</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L'application calcule la distance, les vitesses moyenne et maximale, le nombre d'alertes et le score, puis envoie l'ensemble en un seul lot.</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Hors ligne.</w:t>
      </w:r>
      <w:r>
        <w:rPr>
          <w:rFonts w:ascii="IBM Plex Serif" w:hAnsi="IBM Plex Serif" w:cs="IBM Plex Serif" w:eastAsia="IBM Plex Serif"/>
          <w:b w:val="0"/>
          <w:i w:val="0"/>
          <w:color w:val="1C1A17"/>
          <w:sz w:val="21"/>
        </w:rPr>
        <w:t xml:space="preserve"> La session est conservée localement et synchronisée au retour du réseau, sans intervention.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Renvoi après incident.</w:t>
      </w:r>
      <w:r>
        <w:rPr>
          <w:rFonts w:ascii="IBM Plex Serif" w:hAnsi="IBM Plex Serif" w:cs="IBM Plex Serif" w:eastAsia="IBM Plex Serif"/>
          <w:b w:val="0"/>
          <w:i w:val="0"/>
          <w:color w:val="1C1A17"/>
          <w:sz w:val="21"/>
        </w:rPr>
        <w:t xml:space="preserve"> L'identifiant de session produit par l'appareil rend l'envoi idempotent : une reprise ne crée pas de doublon.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Mise en pause.</w:t>
      </w:r>
      <w:r>
        <w:rPr>
          <w:rFonts w:ascii="IBM Plex Serif" w:hAnsi="IBM Plex Serif" w:cs="IBM Plex Serif" w:eastAsia="IBM Plex Serif"/>
          <w:b w:val="0"/>
          <w:i w:val="0"/>
          <w:color w:val="1C1A17"/>
          <w:sz w:val="21"/>
        </w:rPr>
        <w:t xml:space="preserve"> La session reprend sans perdre les statistiques accumulées.</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Localisation refusée.</w:t>
      </w:r>
      <w:r>
        <w:rPr>
          <w:rFonts w:ascii="IBM Plex Serif" w:hAnsi="IBM Plex Serif" w:cs="IBM Plex Serif" w:eastAsia="IBM Plex Serif"/>
          <w:b w:val="0"/>
          <w:i w:val="0"/>
          <w:color w:val="1C1A17"/>
          <w:sz w:val="21"/>
        </w:rPr>
        <w:t xml:space="preserve"> La session ne démarre pas et un message explique quelle permission est nécessaire.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Application mise en arrière-plan.</w:t>
      </w:r>
      <w:r>
        <w:rPr>
          <w:rFonts w:ascii="IBM Plex Serif" w:hAnsi="IBM Plex Serif" w:cs="IBM Plex Serif" w:eastAsia="IBM Plex Serif"/>
          <w:b w:val="0"/>
          <w:i w:val="0"/>
          <w:color w:val="1C1A17"/>
          <w:sz w:val="21"/>
        </w:rPr>
        <w:t xml:space="preserve"> La session se poursuit dans la limite de ce que le système d'exploitation autorise ; l'interruption éventuelle est signalée.</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Les alertes sont simulées et l'interface ne les présente jamais comme des observations. Il serait malhonnête de laisser croire à un conducteur qu'une alerte d'angle mort correspond à une mesure.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source d'alertes est isolée derrière une interface minimale — démarrer, arrêter, émettre — de sorte qu'une source réelle branchée sur des capteurs ne demanderait aucune modification des écrans.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Une session de conduite ne consomme pas de réseau en direct.</w:t>
      </w:r>
    </w:p>
    <w:p>
      <w:pPr>
        <w:spacing w:before="320" w:after="100"/>
        <w:keepNext w:val="1"/>
      </w:pPr>
      <w:r>
        <w:rPr>
          <w:rFonts w:ascii="IBM Plex Mono" w:hAnsi="IBM Plex Mono" w:cs="IBM Plex Mono" w:eastAsia="IBM Plex Mono"/>
          <w:b/>
          <w:i w:val="0"/>
          <w:color w:val="C62A26"/>
          <w:sz w:val="26"/>
        </w:rPr>
        <w:t xml:space="preserve">5.13   </w:t>
      </w:r>
      <w:r>
        <w:rPr>
          <w:rFonts w:ascii="Bebas Neue" w:hAnsi="Bebas Neue" w:cs="Bebas Neue" w:eastAsia="Bebas Neue"/>
          <w:b w:val="0"/>
          <w:i w:val="0"/>
          <w:color w:val="1C1A17"/>
          <w:sz w:val="36"/>
          <w:spacing w:val="10"/>
        </w:rPr>
        <w:t>UC-13 — Vérifier et certifier un garage</w:t>
      </w:r>
    </w:p>
    <w:p>
      <w:pPr>
        <w:spacing w:before="200" w:after="80"/>
        <w:keepNext w:val="1"/>
      </w:pPr>
      <w:r>
        <w:rPr>
          <w:rFonts w:ascii="IBM Plex Sans" w:hAnsi="IBM Plex Sans" w:cs="IBM Plex Sans" w:eastAsia="IBM Plex Sans"/>
          <w:b/>
          <w:i w:val="0"/>
          <w:color w:val="C62A26"/>
          <w:sz w:val="18"/>
        </w:rPr>
        <w:t xml:space="preserve">Tableau 17 — </w:t>
      </w:r>
      <w:r>
        <w:rPr>
          <w:rFonts w:ascii="IBM Plex Sans" w:hAnsi="IBM Plex Sans" w:cs="IBM Plex Sans" w:eastAsia="IBM Plex Sans"/>
          <w:b w:val="0"/>
          <w:i w:val="0"/>
          <w:color w:val="55514A"/>
          <w:sz w:val="18"/>
        </w:rPr>
        <w:t>Fiche du cas d'utilisation UC-13</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Rubrique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Contenu</w:t>
            </w:r>
          </w:p>
        </w:tc>
      </w:tr>
      <w:tr>
        <w:tc>
          <w:tcPr>
            <w:tcW w:type="dxa" w:w="4649"/>
          </w:tcPr>
          <w:p>
            <w:pPr>
              <w:spacing w:before="60" w:after="60" w:line="269" w:lineRule="auto"/>
            </w:pPr>
            <w:r/>
            <w:r>
              <w:rPr>
                <w:rFonts w:ascii="IBM Plex Serif" w:hAnsi="IBM Plex Serif" w:cs="IBM Plex Serif" w:eastAsia="IBM Plex Serif"/>
                <w:b w:val="0"/>
                <w:i w:val="0"/>
                <w:color w:val="1C1A17"/>
                <w:sz w:val="18"/>
              </w:rPr>
              <w:t>Objectif</w:t>
            </w:r>
          </w:p>
        </w:tc>
        <w:tc>
          <w:tcPr>
            <w:tcW w:type="dxa" w:w="4649"/>
          </w:tcPr>
          <w:p>
            <w:pPr>
              <w:spacing w:before="60" w:after="60" w:line="269" w:lineRule="auto"/>
            </w:pPr>
            <w:r/>
            <w:r>
              <w:rPr>
                <w:rFonts w:ascii="IBM Plex Serif" w:hAnsi="IBM Plex Serif" w:cs="IBM Plex Serif" w:eastAsia="IBM Plex Serif"/>
                <w:b w:val="0"/>
                <w:i w:val="0"/>
                <w:color w:val="1C1A17"/>
                <w:sz w:val="18"/>
              </w:rPr>
              <w:t>Instruire les dossiers de garage déposés depuis l'application, puis prononcer ou non la certification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 principal</w:t>
            </w:r>
          </w:p>
        </w:tc>
        <w:tc>
          <w:tcPr>
            <w:tcW w:type="dxa" w:w="4649"/>
          </w:tcPr>
          <w:p>
            <w:pPr>
              <w:spacing w:before="60" w:after="60" w:line="269" w:lineRule="auto"/>
            </w:pPr>
            <w:r/>
            <w:r>
              <w:rPr>
                <w:rFonts w:ascii="IBM Plex Serif" w:hAnsi="IBM Plex Serif" w:cs="IBM Plex Serif" w:eastAsia="IBM Plex Serif"/>
                <w:b w:val="0"/>
                <w:i w:val="0"/>
                <w:color w:val="1C1A17"/>
                <w:sz w:val="18"/>
              </w:rPr>
              <w:t>Administrateur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Acteurs secondaires</w:t>
            </w:r>
          </w:p>
        </w:tc>
        <w:tc>
          <w:tcPr>
            <w:tcW w:type="dxa" w:w="4649"/>
          </w:tcPr>
          <w:p>
            <w:pPr>
              <w:spacing w:before="60" w:after="60" w:line="269" w:lineRule="auto"/>
            </w:pPr>
            <w:r/>
            <w:r>
              <w:rPr>
                <w:rFonts w:ascii="IBM Plex Serif" w:hAnsi="IBM Plex Serif" w:cs="IBM Plex Serif" w:eastAsia="IBM Plex Serif"/>
                <w:b w:val="0"/>
                <w:i w:val="0"/>
                <w:color w:val="1C1A17"/>
                <w:sz w:val="18"/>
              </w:rPr>
              <w:t>Garagiste, destinataire de la décision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Portée</w:t>
            </w:r>
          </w:p>
        </w:tc>
        <w:tc>
          <w:tcPr>
            <w:tcW w:type="dxa" w:w="4649"/>
          </w:tcPr>
          <w:p>
            <w:pPr>
              <w:spacing w:before="60" w:after="60" w:line="269" w:lineRule="auto"/>
            </w:pPr>
            <w:r/>
            <w:r>
              <w:rPr>
                <w:rFonts w:ascii="IBM Plex Serif" w:hAnsi="IBM Plex Serif" w:cs="IBM Plex Serif" w:eastAsia="IBM Plex Serif"/>
                <w:b w:val="0"/>
                <w:i w:val="0"/>
                <w:color w:val="1C1A17"/>
                <w:sz w:val="18"/>
              </w:rPr>
              <w:t>Base de données et outillage d'administration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Niveau</w:t>
            </w:r>
          </w:p>
        </w:tc>
        <w:tc>
          <w:tcPr>
            <w:tcW w:type="dxa" w:w="4649"/>
          </w:tcPr>
          <w:p>
            <w:pPr>
              <w:spacing w:before="60" w:after="60" w:line="269" w:lineRule="auto"/>
            </w:pPr>
            <w:r/>
            <w:r>
              <w:rPr>
                <w:rFonts w:ascii="IBM Plex Serif" w:hAnsi="IBM Plex Serif" w:cs="IBM Plex Serif" w:eastAsia="IBM Plex Serif"/>
                <w:b w:val="0"/>
                <w:i w:val="0"/>
                <w:color w:val="1C1A17"/>
                <w:sz w:val="18"/>
              </w:rPr>
              <w:t>Objectif métier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Préconditions</w:t>
            </w:r>
          </w:p>
        </w:tc>
        <w:tc>
          <w:tcPr>
            <w:tcW w:type="dxa" w:w="4649"/>
          </w:tcPr>
          <w:p>
            <w:pPr>
              <w:spacing w:before="60" w:after="60" w:line="269" w:lineRule="auto"/>
            </w:pPr>
            <w:r/>
            <w:r>
              <w:rPr>
                <w:rFonts w:ascii="IBM Plex Serif" w:hAnsi="IBM Plex Serif" w:cs="IBM Plex Serif" w:eastAsia="IBM Plex Serif"/>
                <w:b w:val="0"/>
                <w:i w:val="0"/>
                <w:color w:val="1C1A17"/>
                <w:sz w:val="18"/>
              </w:rPr>
              <w:t>Un dossier de garage existe sans date de vérification</w:t>
            </w:r>
          </w:p>
        </w:tc>
      </w:tr>
      <w:tr>
        <w:tc>
          <w:tcPr>
            <w:tcW w:type="dxa" w:w="4649"/>
          </w:tcPr>
          <w:p>
            <w:pPr>
              <w:spacing w:before="60" w:after="60" w:line="269" w:lineRule="auto"/>
            </w:pPr>
            <w:r/>
            <w:r>
              <w:rPr>
                <w:rFonts w:ascii="IBM Plex Serif" w:hAnsi="IBM Plex Serif" w:cs="IBM Plex Serif" w:eastAsia="IBM Plex Serif"/>
                <w:b w:val="0"/>
                <w:i w:val="0"/>
                <w:color w:val="1C1A17"/>
                <w:sz w:val="18"/>
              </w:rPr>
              <w:t>Déclencheur</w:t>
            </w:r>
          </w:p>
        </w:tc>
        <w:tc>
          <w:tcPr>
            <w:tcW w:type="dxa" w:w="4649"/>
          </w:tcPr>
          <w:p>
            <w:pPr>
              <w:spacing w:before="60" w:after="60" w:line="269" w:lineRule="auto"/>
            </w:pPr>
            <w:r/>
            <w:r>
              <w:rPr>
                <w:rFonts w:ascii="IBM Plex Serif" w:hAnsi="IBM Plex Serif" w:cs="IBM Plex Serif" w:eastAsia="IBM Plex Serif"/>
                <w:b w:val="0"/>
                <w:i w:val="0"/>
                <w:color w:val="1C1A17"/>
                <w:sz w:val="18"/>
              </w:rPr>
              <w:t>L'arrivée d'un dossier dans la file d'attente, ordonnée par date de dépôt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de succès</w:t>
            </w:r>
          </w:p>
        </w:tc>
        <w:tc>
          <w:tcPr>
            <w:tcW w:type="dxa" w:w="4649"/>
          </w:tcPr>
          <w:p>
            <w:pPr>
              <w:spacing w:before="60" w:after="60" w:line="269" w:lineRule="auto"/>
            </w:pPr>
            <w:r/>
            <w:r>
              <w:rPr>
                <w:rFonts w:ascii="IBM Plex Serif" w:hAnsi="IBM Plex Serif" w:cs="IBM Plex Serif" w:eastAsia="IBM Plex Serif"/>
                <w:b w:val="0"/>
                <w:i w:val="0"/>
                <w:color w:val="1C1A17"/>
                <w:sz w:val="18"/>
              </w:rPr>
              <w:t>Le garage porte une date de vérification et devient actif ; il peut en outre être certifié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Postcondition en cas d'échec</w:t>
            </w:r>
          </w:p>
        </w:tc>
        <w:tc>
          <w:tcPr>
            <w:tcW w:type="dxa" w:w="4649"/>
          </w:tcPr>
          <w:p>
            <w:pPr>
              <w:spacing w:before="60" w:after="60" w:line="269" w:lineRule="auto"/>
            </w:pPr>
            <w:r/>
            <w:r>
              <w:rPr>
                <w:rFonts w:ascii="IBM Plex Serif" w:hAnsi="IBM Plex Serif" w:cs="IBM Plex Serif" w:eastAsia="IBM Plex Serif"/>
                <w:b w:val="0"/>
                <w:i w:val="0"/>
                <w:color w:val="1C1A17"/>
                <w:sz w:val="18"/>
              </w:rPr>
              <w:t>Le garage reste non vérifié, donc inactif et invisible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Fréquence</w:t>
            </w:r>
          </w:p>
        </w:tc>
        <w:tc>
          <w:tcPr>
            <w:tcW w:type="dxa" w:w="4649"/>
          </w:tcPr>
          <w:p>
            <w:pPr>
              <w:spacing w:before="60" w:after="60" w:line="269" w:lineRule="auto"/>
            </w:pPr>
            <w:r/>
            <w:r>
              <w:rPr>
                <w:rFonts w:ascii="IBM Plex Serif" w:hAnsi="IBM Plex Serif" w:cs="IBM Plex Serif" w:eastAsia="IBM Plex Serif"/>
                <w:b w:val="0"/>
                <w:i w:val="0"/>
                <w:color w:val="1C1A17"/>
                <w:sz w:val="18"/>
              </w:rPr>
              <w:t>Faible, mais critique pour la confiance</w:t>
            </w:r>
          </w:p>
        </w:tc>
      </w:tr>
    </w:tbl>
    <w:p>
      <w:pPr>
        <w:spacing w:after="160"/>
      </w:pPr>
    </w:p>
    <w:p>
      <w:pPr>
        <w:spacing w:before="200" w:after="80"/>
        <w:keepNext w:val="1"/>
      </w:pPr>
      <w:r>
        <w:rPr>
          <w:rFonts w:ascii="Bebas Neue" w:hAnsi="Bebas Neue" w:cs="Bebas Neue" w:eastAsia="Bebas Neue"/>
          <w:b w:val="0"/>
          <w:i w:val="0"/>
          <w:color w:val="9E211E"/>
          <w:sz w:val="26"/>
          <w:spacing w:val="16"/>
        </w:rPr>
        <w:t>Scénario nominal</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L'administrateur relève les dossiers en attente, listés par date de dépôt grâce à un index partiel.</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Il contrôle l'existence de l'atelier, la cohérence de la position et la validité du contact.</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Il pose la date de vérification, ce qui rend le garage actif et éligible aux recherches.</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Il décide séparément de la certification, qui engage sur la qualité et non sur l'existence.</w:t>
      </w:r>
    </w:p>
    <w:p>
      <w:pPr>
        <w:spacing w:before="200" w:after="80"/>
        <w:keepNext w:val="1"/>
      </w:pPr>
      <w:r>
        <w:rPr>
          <w:rFonts w:ascii="Bebas Neue" w:hAnsi="Bebas Neue" w:cs="Bebas Neue" w:eastAsia="Bebas Neue"/>
          <w:b w:val="0"/>
          <w:i w:val="0"/>
          <w:color w:val="9E211E"/>
          <w:sz w:val="26"/>
          <w:spacing w:val="16"/>
        </w:rPr>
        <w:t>Scénarios alternatifs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A1 — Vérifié sans certification.</w:t>
      </w:r>
      <w:r>
        <w:rPr>
          <w:rFonts w:ascii="IBM Plex Serif" w:hAnsi="IBM Plex Serif" w:cs="IBM Plex Serif" w:eastAsia="IBM Plex Serif"/>
          <w:b w:val="0"/>
          <w:i w:val="0"/>
          <w:color w:val="1C1A17"/>
          <w:sz w:val="21"/>
        </w:rPr>
        <w:t xml:space="preserve"> C'est le cas normal. Un garage vérifié non certifié apparaît dans les résultats sans marque distinctive.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A2 — Retrait de certification.</w:t>
      </w:r>
      <w:r>
        <w:rPr>
          <w:rFonts w:ascii="IBM Plex Serif" w:hAnsi="IBM Plex Serif" w:cs="IBM Plex Serif" w:eastAsia="IBM Plex Serif"/>
          <w:b w:val="0"/>
          <w:i w:val="0"/>
          <w:color w:val="1C1A17"/>
          <w:sz w:val="21"/>
        </w:rPr>
        <w:t xml:space="preserve"> La certification peut être retirée sans que le garage cesse d'être actif.</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A3 — Dossier incomplet.</w:t>
      </w:r>
      <w:r>
        <w:rPr>
          <w:rFonts w:ascii="IBM Plex Serif" w:hAnsi="IBM Plex Serif" w:cs="IBM Plex Serif" w:eastAsia="IBM Plex Serif"/>
          <w:b w:val="0"/>
          <w:i w:val="0"/>
          <w:color w:val="1C1A17"/>
          <w:sz w:val="21"/>
        </w:rPr>
        <w:t xml:space="preserve"> Le dossier reste en attente et le contact est sollicité par courrier électronique.</w:t>
      </w:r>
    </w:p>
    <w:p>
      <w:pPr>
        <w:spacing w:before="200" w:after="80"/>
        <w:keepNext w:val="1"/>
      </w:pPr>
      <w:r>
        <w:rPr>
          <w:rFonts w:ascii="Bebas Neue" w:hAnsi="Bebas Neue" w:cs="Bebas Neue" w:eastAsia="Bebas Neue"/>
          <w:b w:val="0"/>
          <w:i w:val="0"/>
          <w:color w:val="9E211E"/>
          <w:sz w:val="26"/>
          <w:spacing w:val="16"/>
        </w:rPr>
        <w:t>Scénarios d'erreur</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E1 — Garage inexistant.</w:t>
      </w:r>
      <w:r>
        <w:rPr>
          <w:rFonts w:ascii="IBM Plex Serif" w:hAnsi="IBM Plex Serif" w:cs="IBM Plex Serif" w:eastAsia="IBM Plex Serif"/>
          <w:b w:val="0"/>
          <w:i w:val="0"/>
          <w:color w:val="1C1A17"/>
          <w:sz w:val="21"/>
        </w:rPr>
        <w:t xml:space="preserve"> Le dossier est refusé et le garage reste inactif : un atelier inventé qui remonterait dans une recherche enverrait quelqu'un en panne vers une adresse qui n'existe pas.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E2 — Certification sans date.</w:t>
      </w:r>
      <w:r>
        <w:rPr>
          <w:rFonts w:ascii="IBM Plex Serif" w:hAnsi="IBM Plex Serif" w:cs="IBM Plex Serif" w:eastAsia="IBM Plex Serif"/>
          <w:b w:val="0"/>
          <w:i w:val="0"/>
          <w:color w:val="1C1A17"/>
          <w:sz w:val="21"/>
        </w:rPr>
        <w:t xml:space="preserve"> Rejet par la contrainte </w:t>
      </w:r>
      <w:r>
        <w:rPr>
          <w:rFonts w:ascii="IBM Plex Mono" w:hAnsi="IBM Plex Mono" w:cs="IBM Plex Mono" w:eastAsia="IBM Plex Mono"/>
          <w:b w:val="0"/>
          <w:i w:val="0"/>
          <w:color w:val="55514A"/>
          <w:sz w:val="18"/>
        </w:rPr>
        <w:t>certified_has_date</w:t>
      </w:r>
      <w:r>
        <w:rPr>
          <w:rFonts w:ascii="IBM Plex Serif" w:hAnsi="IBM Plex Serif" w:cs="IBM Plex Serif" w:eastAsia="IBM Plex Serif"/>
          <w:b w:val="0"/>
          <w:i w:val="0"/>
          <w:color w:val="1C1A17"/>
          <w:sz w:val="21"/>
        </w:rPr>
        <w: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color w:val="1C1A17"/>
          <w:sz w:val="21"/>
        </w:rPr>
        <w:t>E3 — Position erronée.</w:t>
      </w:r>
      <w:r>
        <w:rPr>
          <w:rFonts w:ascii="IBM Plex Serif" w:hAnsi="IBM Plex Serif" w:cs="IBM Plex Serif" w:eastAsia="IBM Plex Serif"/>
          <w:b w:val="0"/>
          <w:i w:val="0"/>
          <w:color w:val="1C1A17"/>
          <w:sz w:val="21"/>
        </w:rPr>
        <w:t xml:space="preserve"> Le dossier est renvoyé pour correction plutôt que vérifié.</w:t>
      </w:r>
    </w:p>
    <w:p>
      <w:pPr>
        <w:spacing w:before="200" w:after="80"/>
        <w:keepNext w:val="1"/>
      </w:pPr>
      <w:r>
        <w:rPr>
          <w:rFonts w:ascii="Bebas Neue" w:hAnsi="Bebas Neue" w:cs="Bebas Neue" w:eastAsia="Bebas Neue"/>
          <w:b w:val="0"/>
          <w:i w:val="0"/>
          <w:color w:val="9E211E"/>
          <w:sz w:val="26"/>
          <w:spacing w:val="16"/>
        </w:rPr>
        <w:t>Règles de gestion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vérification et la certification sont deux actes distincts, et le schéma les distingue par deux colonnes séparées.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Seuls les garages certifiés ouvrent droit aux paliers de fidélité convertibles.</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Les dossiers en attente se lisent par date d'arrivée grâce à un index partiel : c'est la file de travail de la vérification.</w:t>
      </w:r>
    </w:p>
    <w:p>
      <w:pPr>
        <w:spacing w:before="320" w:after="100"/>
        <w:keepNext w:val="1"/>
      </w:pPr>
      <w:r>
        <w:rPr>
          <w:rFonts w:ascii="IBM Plex Mono" w:hAnsi="IBM Plex Mono" w:cs="IBM Plex Mono" w:eastAsia="IBM Plex Mono"/>
          <w:b/>
          <w:i w:val="0"/>
          <w:color w:val="C62A26"/>
          <w:sz w:val="26"/>
        </w:rPr>
        <w:t xml:space="preserve">5.14   </w:t>
      </w:r>
      <w:r>
        <w:rPr>
          <w:rFonts w:ascii="Bebas Neue" w:hAnsi="Bebas Neue" w:cs="Bebas Neue" w:eastAsia="Bebas Neue"/>
          <w:b w:val="0"/>
          <w:i w:val="0"/>
          <w:color w:val="1C1A17"/>
          <w:sz w:val="36"/>
          <w:spacing w:val="10"/>
        </w:rPr>
        <w:t>Synthèse de la traçabilité</w:t>
      </w:r>
    </w:p>
    <w:p>
      <w:pPr>
        <w:spacing w:before="0" w:after="80" w:line="312" w:lineRule="auto"/>
        <w:ind w:firstLine="397"/>
        <w:jc w:val="both"/>
      </w:pPr>
      <w:r>
        <w:rPr>
          <w:rFonts w:ascii="IBM Plex Serif" w:hAnsi="IBM Plex Serif" w:cs="IBM Plex Serif" w:eastAsia="IBM Plex Serif"/>
          <w:b w:val="0"/>
          <w:i w:val="0"/>
          <w:color w:val="1C1A17"/>
          <w:sz w:val="21"/>
        </w:rPr>
        <w:t>Le tableau suivant relie chaque cas d'utilisation aux besoins fonctionnels du chapitre 2 et aux garanties qui le protègent. Il sert de table de correspondance lors des revues : une exigence qui n'apparaît dans aucun cas n'est pas couverte, et un cas qui ne s'adosse à aucune garantie repose sur la seule discipline du code.</w:t>
      </w:r>
    </w:p>
    <w:p>
      <w:pPr>
        <w:spacing w:before="200" w:after="80"/>
        <w:keepNext w:val="1"/>
      </w:pPr>
      <w:r>
        <w:rPr>
          <w:rFonts w:ascii="IBM Plex Sans" w:hAnsi="IBM Plex Sans" w:cs="IBM Plex Sans" w:eastAsia="IBM Plex Sans"/>
          <w:b/>
          <w:i w:val="0"/>
          <w:color w:val="C62A26"/>
          <w:sz w:val="18"/>
        </w:rPr>
        <w:t xml:space="preserve">Tableau 18 — </w:t>
      </w:r>
      <w:r>
        <w:rPr>
          <w:rFonts w:ascii="IBM Plex Sans" w:hAnsi="IBM Plex Sans" w:cs="IBM Plex Sans" w:eastAsia="IBM Plex Sans"/>
          <w:b w:val="0"/>
          <w:i w:val="0"/>
          <w:color w:val="55514A"/>
          <w:sz w:val="18"/>
        </w:rPr>
        <w:t>Traçabilité des cas d'utilisation</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Cas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Besoin couvert</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Garantie principale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UC-01</w:t>
            </w:r>
          </w:p>
        </w:tc>
        <w:tc>
          <w:tcPr>
            <w:tcW w:type="dxa" w:w="3099"/>
          </w:tcPr>
          <w:p>
            <w:pPr>
              <w:spacing w:before="60" w:after="60" w:line="269" w:lineRule="auto"/>
            </w:pPr>
            <w:r/>
            <w:r>
              <w:rPr>
                <w:rFonts w:ascii="IBM Plex Serif" w:hAnsi="IBM Plex Serif" w:cs="IBM Plex Serif" w:eastAsia="IBM Plex Serif"/>
                <w:b w:val="0"/>
                <w:i w:val="0"/>
                <w:color w:val="1C1A17"/>
                <w:sz w:val="18"/>
              </w:rPr>
              <w:t>Gestion du compte</w:t>
            </w:r>
          </w:p>
        </w:tc>
        <w:tc>
          <w:tcPr>
            <w:tcW w:type="dxa" w:w="3099"/>
          </w:tcPr>
          <w:p>
            <w:pPr>
              <w:spacing w:before="60" w:after="60" w:line="269" w:lineRule="auto"/>
            </w:pPr>
            <w:r/>
            <w:r>
              <w:rPr>
                <w:rFonts w:ascii="IBM Plex Serif" w:hAnsi="IBM Plex Serif" w:cs="IBM Plex Serif" w:eastAsia="IBM Plex Serif"/>
                <w:b w:val="0"/>
                <w:i w:val="0"/>
                <w:color w:val="1C1A17"/>
                <w:sz w:val="18"/>
              </w:rPr>
              <w:t>Unicité du téléphone, empreinte du jeton de rafraîchissement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UC-02</w:t>
            </w:r>
          </w:p>
        </w:tc>
        <w:tc>
          <w:tcPr>
            <w:tcW w:type="dxa" w:w="3099"/>
          </w:tcPr>
          <w:p>
            <w:pPr>
              <w:spacing w:before="60" w:after="60" w:line="269" w:lineRule="auto"/>
            </w:pPr>
            <w:r/>
            <w:r>
              <w:rPr>
                <w:rFonts w:ascii="IBM Plex Serif" w:hAnsi="IBM Plex Serif" w:cs="IBM Plex Serif" w:eastAsia="IBM Plex Serif"/>
                <w:b w:val="0"/>
                <w:i w:val="0"/>
                <w:color w:val="1C1A17"/>
                <w:sz w:val="18"/>
              </w:rPr>
              <w:t>Recherche de garages</w:t>
            </w:r>
          </w:p>
        </w:tc>
        <w:tc>
          <w:tcPr>
            <w:tcW w:type="dxa" w:w="3099"/>
          </w:tcPr>
          <w:p>
            <w:pPr>
              <w:spacing w:before="60" w:after="60" w:line="269" w:lineRule="auto"/>
            </w:pPr>
            <w:r/>
            <w:r>
              <w:rPr>
                <w:rFonts w:ascii="IBM Plex Serif" w:hAnsi="IBM Plex Serif" w:cs="IBM Plex Serif" w:eastAsia="IBM Plex Serif"/>
                <w:b w:val="0"/>
                <w:i w:val="0"/>
                <w:color w:val="1C1A17"/>
                <w:sz w:val="18"/>
              </w:rPr>
              <w:t>Filtre géospatial avant tri, rang calculé en SQL</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UC-03</w:t>
            </w:r>
          </w:p>
        </w:tc>
        <w:tc>
          <w:tcPr>
            <w:tcW w:type="dxa" w:w="3099"/>
          </w:tcPr>
          <w:p>
            <w:pPr>
              <w:spacing w:before="60" w:after="60" w:line="269" w:lineRule="auto"/>
            </w:pPr>
            <w:r/>
            <w:r>
              <w:rPr>
                <w:rFonts w:ascii="IBM Plex Serif" w:hAnsi="IBM Plex Serif" w:cs="IBM Plex Serif" w:eastAsia="IBM Plex Serif"/>
                <w:b w:val="0"/>
                <w:i w:val="0"/>
                <w:color w:val="1C1A17"/>
                <w:sz w:val="18"/>
              </w:rPr>
              <w:t>Déclaration de panne</w:t>
            </w:r>
          </w:p>
        </w:tc>
        <w:tc>
          <w:tcPr>
            <w:tcW w:type="dxa" w:w="3099"/>
          </w:tcPr>
          <w:p>
            <w:pPr>
              <w:spacing w:before="60" w:after="60" w:line="269" w:lineRule="auto"/>
            </w:pPr>
            <w:r/>
            <w:r>
              <w:rPr>
                <w:rFonts w:ascii="IBM Plex Serif" w:hAnsi="IBM Plex Serif" w:cs="IBM Plex Serif" w:eastAsia="IBM Plex Serif"/>
                <w:b w:val="0"/>
                <w:i w:val="0"/>
                <w:color w:val="1C1A17"/>
                <w:sz w:val="18"/>
              </w:rPr>
              <w:t>Unicité de la demande active, libellés obligatoires, mode contraint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UC-04</w:t>
            </w:r>
          </w:p>
        </w:tc>
        <w:tc>
          <w:tcPr>
            <w:tcW w:type="dxa" w:w="3099"/>
          </w:tcPr>
          <w:p>
            <w:pPr>
              <w:spacing w:before="60" w:after="60" w:line="269" w:lineRule="auto"/>
            </w:pPr>
            <w:r/>
            <w:r>
              <w:rPr>
                <w:rFonts w:ascii="IBM Plex Serif" w:hAnsi="IBM Plex Serif" w:cs="IBM Plex Serif" w:eastAsia="IBM Plex Serif"/>
                <w:b w:val="0"/>
                <w:i w:val="0"/>
                <w:color w:val="1C1A17"/>
                <w:sz w:val="18"/>
              </w:rPr>
              <w:t>Choix du garage</w:t>
            </w:r>
          </w:p>
        </w:tc>
        <w:tc>
          <w:tcPr>
            <w:tcW w:type="dxa" w:w="3099"/>
          </w:tcPr>
          <w:p>
            <w:pPr>
              <w:spacing w:before="60" w:after="60" w:line="269" w:lineRule="auto"/>
            </w:pPr>
            <w:r/>
            <w:r>
              <w:rPr>
                <w:rFonts w:ascii="IBM Plex Serif" w:hAnsi="IBM Plex Serif" w:cs="IBM Plex Serif" w:eastAsia="IBM Plex Serif"/>
                <w:b w:val="0"/>
                <w:i w:val="0"/>
                <w:color w:val="1C1A17"/>
                <w:sz w:val="18"/>
              </w:rPr>
              <w:t>Garage obligatoire après sélection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UC-05</w:t>
            </w:r>
          </w:p>
        </w:tc>
        <w:tc>
          <w:tcPr>
            <w:tcW w:type="dxa" w:w="3099"/>
          </w:tcPr>
          <w:p>
            <w:pPr>
              <w:spacing w:before="60" w:after="60" w:line="269" w:lineRule="auto"/>
            </w:pPr>
            <w:r/>
            <w:r>
              <w:rPr>
                <w:rFonts w:ascii="IBM Plex Serif" w:hAnsi="IBM Plex Serif" w:cs="IBM Plex Serif" w:eastAsia="IBM Plex Serif"/>
                <w:b w:val="0"/>
                <w:i w:val="0"/>
                <w:color w:val="1C1A17"/>
                <w:sz w:val="18"/>
              </w:rPr>
              <w:t>Traitement par le garagiste</w:t>
            </w:r>
          </w:p>
        </w:tc>
        <w:tc>
          <w:tcPr>
            <w:tcW w:type="dxa" w:w="3099"/>
          </w:tcPr>
          <w:p>
            <w:pPr>
              <w:spacing w:before="60" w:after="60" w:line="269" w:lineRule="auto"/>
            </w:pPr>
            <w:r/>
            <w:r>
              <w:rPr>
                <w:rFonts w:ascii="IBM Plex Serif" w:hAnsi="IBM Plex Serif" w:cs="IBM Plex Serif" w:eastAsia="IBM Plex Serif"/>
                <w:b w:val="0"/>
                <w:i w:val="0"/>
                <w:color w:val="1C1A17"/>
                <w:sz w:val="18"/>
              </w:rPr>
              <w:t>Refus distinct de l'annulation, journal en ajout seul</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UC-06</w:t>
            </w:r>
          </w:p>
        </w:tc>
        <w:tc>
          <w:tcPr>
            <w:tcW w:type="dxa" w:w="3099"/>
          </w:tcPr>
          <w:p>
            <w:pPr>
              <w:spacing w:before="60" w:after="60" w:line="269" w:lineRule="auto"/>
            </w:pPr>
            <w:r/>
            <w:r>
              <w:rPr>
                <w:rFonts w:ascii="IBM Plex Serif" w:hAnsi="IBM Plex Serif" w:cs="IBM Plex Serif" w:eastAsia="IBM Plex Serif"/>
                <w:b w:val="0"/>
                <w:i w:val="0"/>
                <w:color w:val="1C1A17"/>
                <w:sz w:val="18"/>
              </w:rPr>
              <w:t>Départ du voyageur</w:t>
            </w:r>
          </w:p>
        </w:tc>
        <w:tc>
          <w:tcPr>
            <w:tcW w:type="dxa" w:w="3099"/>
          </w:tcPr>
          <w:p>
            <w:pPr>
              <w:spacing w:before="60" w:after="60" w:line="269" w:lineRule="auto"/>
            </w:pPr>
            <w:r/>
            <w:r>
              <w:rPr>
                <w:rFonts w:ascii="IBM Plex Serif" w:hAnsi="IBM Plex Serif" w:cs="IBM Plex Serif" w:eastAsia="IBM Plex Serif"/>
                <w:b w:val="0"/>
                <w:i w:val="0"/>
                <w:color w:val="1C1A17"/>
                <w:sz w:val="18"/>
              </w:rPr>
              <w:t>Contrôle du rôle voyageur côté serveur</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UC-07</w:t>
            </w:r>
          </w:p>
        </w:tc>
        <w:tc>
          <w:tcPr>
            <w:tcW w:type="dxa" w:w="3099"/>
          </w:tcPr>
          <w:p>
            <w:pPr>
              <w:spacing w:before="60" w:after="60" w:line="269" w:lineRule="auto"/>
            </w:pPr>
            <w:r/>
            <w:r>
              <w:rPr>
                <w:rFonts w:ascii="IBM Plex Serif" w:hAnsi="IBM Plex Serif" w:cs="IBM Plex Serif" w:eastAsia="IBM Plex Serif"/>
                <w:b w:val="0"/>
                <w:i w:val="0"/>
                <w:color w:val="1C1A17"/>
                <w:sz w:val="18"/>
              </w:rPr>
              <w:t>Suivi temps réel</w:t>
            </w:r>
          </w:p>
        </w:tc>
        <w:tc>
          <w:tcPr>
            <w:tcW w:type="dxa" w:w="3099"/>
          </w:tcPr>
          <w:p>
            <w:pPr>
              <w:spacing w:before="60" w:after="60" w:line="269" w:lineRule="auto"/>
            </w:pPr>
            <w:r/>
            <w:r>
              <w:rPr>
                <w:rFonts w:ascii="IBM Plex Serif" w:hAnsi="IBM Plex Serif" w:cs="IBM Plex Serif" w:eastAsia="IBM Plex Serif"/>
                <w:b w:val="0"/>
                <w:i w:val="0"/>
                <w:color w:val="1C1A17"/>
                <w:sz w:val="18"/>
              </w:rPr>
              <w:t>Rejeu par numéro de séquence, mode dégradé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UC-08</w:t>
            </w:r>
          </w:p>
        </w:tc>
        <w:tc>
          <w:tcPr>
            <w:tcW w:type="dxa" w:w="3099"/>
          </w:tcPr>
          <w:p>
            <w:pPr>
              <w:spacing w:before="60" w:after="60" w:line="269" w:lineRule="auto"/>
            </w:pPr>
            <w:r/>
            <w:r>
              <w:rPr>
                <w:rFonts w:ascii="IBM Plex Serif" w:hAnsi="IBM Plex Serif" w:cs="IBM Plex Serif" w:eastAsia="IBM Plex Serif"/>
                <w:b w:val="0"/>
                <w:i w:val="0"/>
                <w:color w:val="1C1A17"/>
                <w:sz w:val="18"/>
              </w:rPr>
              <w:t>Clôture et fidélité</w:t>
            </w:r>
          </w:p>
        </w:tc>
        <w:tc>
          <w:tcPr>
            <w:tcW w:type="dxa" w:w="3099"/>
          </w:tcPr>
          <w:p>
            <w:pPr>
              <w:spacing w:before="60" w:after="60" w:line="269" w:lineRule="auto"/>
            </w:pPr>
            <w:r/>
            <w:r>
              <w:rPr>
                <w:rFonts w:ascii="IBM Plex Serif" w:hAnsi="IBM Plex Serif" w:cs="IBM Plex Serif" w:eastAsia="IBM Plex Serif"/>
                <w:b w:val="0"/>
                <w:i w:val="0"/>
                <w:color w:val="1C1A17"/>
                <w:sz w:val="18"/>
              </w:rPr>
              <w:t>Double confirmation en contrainte de base, idempotence du crédit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UC-09</w:t>
            </w:r>
          </w:p>
        </w:tc>
        <w:tc>
          <w:tcPr>
            <w:tcW w:type="dxa" w:w="3099"/>
          </w:tcPr>
          <w:p>
            <w:pPr>
              <w:spacing w:before="60" w:after="60" w:line="269" w:lineRule="auto"/>
            </w:pPr>
            <w:r/>
            <w:r>
              <w:rPr>
                <w:rFonts w:ascii="IBM Plex Serif" w:hAnsi="IBM Plex Serif" w:cs="IBM Plex Serif" w:eastAsia="IBM Plex Serif"/>
                <w:b w:val="0"/>
                <w:i w:val="0"/>
                <w:color w:val="1C1A17"/>
                <w:sz w:val="18"/>
              </w:rPr>
              <w:t>Avis</w:t>
            </w:r>
          </w:p>
        </w:tc>
        <w:tc>
          <w:tcPr>
            <w:tcW w:type="dxa" w:w="3099"/>
          </w:tcPr>
          <w:p>
            <w:pPr>
              <w:spacing w:before="60" w:after="60" w:line="269" w:lineRule="auto"/>
            </w:pPr>
            <w:r/>
            <w:r>
              <w:rPr>
                <w:rFonts w:ascii="IBM Plex Serif" w:hAnsi="IBM Plex Serif" w:cs="IBM Plex Serif" w:eastAsia="IBM Plex Serif"/>
                <w:b w:val="0"/>
                <w:i w:val="0"/>
                <w:color w:val="1C1A17"/>
                <w:sz w:val="18"/>
              </w:rPr>
              <w:t>Clé unique portant sur la demande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UC-10</w:t>
            </w:r>
          </w:p>
        </w:tc>
        <w:tc>
          <w:tcPr>
            <w:tcW w:type="dxa" w:w="3099"/>
          </w:tcPr>
          <w:p>
            <w:pPr>
              <w:spacing w:before="60" w:after="60" w:line="269" w:lineRule="auto"/>
            </w:pPr>
            <w:r/>
            <w:r>
              <w:rPr>
                <w:rFonts w:ascii="IBM Plex Serif" w:hAnsi="IBM Plex Serif" w:cs="IBM Plex Serif" w:eastAsia="IBM Plex Serif"/>
                <w:b w:val="0"/>
                <w:i w:val="0"/>
                <w:color w:val="1C1A17"/>
                <w:sz w:val="18"/>
              </w:rPr>
              <w:t>Fidélité et parrainage</w:t>
            </w:r>
          </w:p>
        </w:tc>
        <w:tc>
          <w:tcPr>
            <w:tcW w:type="dxa" w:w="3099"/>
          </w:tcPr>
          <w:p>
            <w:pPr>
              <w:spacing w:before="60" w:after="60" w:line="269" w:lineRule="auto"/>
            </w:pPr>
            <w:r/>
            <w:r>
              <w:rPr>
                <w:rFonts w:ascii="IBM Plex Serif" w:hAnsi="IBM Plex Serif" w:cs="IBM Plex Serif" w:eastAsia="IBM Plex Serif"/>
                <w:b w:val="0"/>
                <w:i w:val="0"/>
                <w:color w:val="1C1A17"/>
                <w:sz w:val="18"/>
              </w:rPr>
              <w:t>Interdiction de l'auto-parrainage, journal comptable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UC-11</w:t>
            </w:r>
          </w:p>
        </w:tc>
        <w:tc>
          <w:tcPr>
            <w:tcW w:type="dxa" w:w="3099"/>
          </w:tcPr>
          <w:p>
            <w:pPr>
              <w:spacing w:before="60" w:after="60" w:line="269" w:lineRule="auto"/>
            </w:pPr>
            <w:r/>
            <w:r>
              <w:rPr>
                <w:rFonts w:ascii="IBM Plex Serif" w:hAnsi="IBM Plex Serif" w:cs="IBM Plex Serif" w:eastAsia="IBM Plex Serif"/>
                <w:b w:val="0"/>
                <w:i w:val="0"/>
                <w:color w:val="1C1A17"/>
                <w:sz w:val="18"/>
              </w:rPr>
              <w:t>Inscription d'un garage</w:t>
            </w:r>
          </w:p>
        </w:tc>
        <w:tc>
          <w:tcPr>
            <w:tcW w:type="dxa" w:w="3099"/>
          </w:tcPr>
          <w:p>
            <w:pPr>
              <w:spacing w:before="60" w:after="60" w:line="269" w:lineRule="auto"/>
            </w:pPr>
            <w:r/>
            <w:r>
              <w:rPr>
                <w:rFonts w:ascii="IBM Plex Serif" w:hAnsi="IBM Plex Serif" w:cs="IBM Plex Serif" w:eastAsia="IBM Plex Serif"/>
                <w:b w:val="0"/>
                <w:i w:val="0"/>
                <w:color w:val="1C1A17"/>
                <w:sz w:val="18"/>
              </w:rPr>
              <w:t>Un garage par compte, activité liée à la vérification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UC-12</w:t>
            </w:r>
          </w:p>
        </w:tc>
        <w:tc>
          <w:tcPr>
            <w:tcW w:type="dxa" w:w="3099"/>
          </w:tcPr>
          <w:p>
            <w:pPr>
              <w:spacing w:before="60" w:after="60" w:line="269" w:lineRule="auto"/>
            </w:pPr>
            <w:r/>
            <w:r>
              <w:rPr>
                <w:rFonts w:ascii="IBM Plex Serif" w:hAnsi="IBM Plex Serif" w:cs="IBM Plex Serif" w:eastAsia="IBM Plex Serif"/>
                <w:b w:val="0"/>
                <w:i w:val="0"/>
                <w:color w:val="1C1A17"/>
                <w:sz w:val="18"/>
              </w:rPr>
              <w:t>Mode conduite</w:t>
            </w:r>
          </w:p>
        </w:tc>
        <w:tc>
          <w:tcPr>
            <w:tcW w:type="dxa" w:w="3099"/>
          </w:tcPr>
          <w:p>
            <w:pPr>
              <w:spacing w:before="60" w:after="60" w:line="269" w:lineRule="auto"/>
            </w:pPr>
            <w:r/>
            <w:r>
              <w:rPr>
                <w:rFonts w:ascii="IBM Plex Serif" w:hAnsi="IBM Plex Serif" w:cs="IBM Plex Serif" w:eastAsia="IBM Plex Serif"/>
                <w:b w:val="0"/>
                <w:i w:val="0"/>
                <w:color w:val="1C1A17"/>
                <w:sz w:val="18"/>
              </w:rPr>
              <w:t>Idempotence de la synchronisation de session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UC-13</w:t>
            </w:r>
          </w:p>
        </w:tc>
        <w:tc>
          <w:tcPr>
            <w:tcW w:type="dxa" w:w="3099"/>
          </w:tcPr>
          <w:p>
            <w:pPr>
              <w:spacing w:before="60" w:after="60" w:line="269" w:lineRule="auto"/>
            </w:pPr>
            <w:r/>
            <w:r>
              <w:rPr>
                <w:rFonts w:ascii="IBM Plex Serif" w:hAnsi="IBM Plex Serif" w:cs="IBM Plex Serif" w:eastAsia="IBM Plex Serif"/>
                <w:b w:val="0"/>
                <w:i w:val="0"/>
                <w:color w:val="1C1A17"/>
                <w:sz w:val="18"/>
              </w:rPr>
              <w:t>Vérification et certification</w:t>
            </w:r>
          </w:p>
        </w:tc>
        <w:tc>
          <w:tcPr>
            <w:tcW w:type="dxa" w:w="3099"/>
          </w:tcPr>
          <w:p>
            <w:pPr>
              <w:spacing w:before="60" w:after="60" w:line="269" w:lineRule="auto"/>
            </w:pPr>
            <w:r/>
            <w:r>
              <w:rPr>
                <w:rFonts w:ascii="IBM Plex Serif" w:hAnsi="IBM Plex Serif" w:cs="IBM Plex Serif" w:eastAsia="IBM Plex Serif"/>
                <w:b w:val="0"/>
                <w:i w:val="0"/>
                <w:color w:val="1C1A17"/>
                <w:sz w:val="18"/>
              </w:rPr>
              <w:t>Certification datée, index de file d'attente</w:t>
            </w:r>
          </w:p>
        </w:tc>
      </w:tr>
    </w:tbl>
    <w:p>
      <w:pPr>
        <w:spacing w:after="160"/>
      </w:pPr>
    </w:p>
    <w:p>
      <w:pPr>
        <w:pageBreakBefore w:val="1"/>
        <w:spacing w:before="0" w:after="40"/>
      </w:pPr>
      <w:r>
        <w:rPr>
          <w:rFonts w:ascii="Bebas Neue" w:hAnsi="Bebas Neue" w:cs="Bebas Neue" w:eastAsia="Bebas Neue"/>
          <w:b w:val="0"/>
          <w:i w:val="0"/>
          <w:color w:val="C62A26"/>
          <w:sz w:val="22"/>
          <w:spacing w:val="38"/>
        </w:rPr>
        <w:t>CHAPITRE 6</w:t>
      </w:r>
    </w:p>
    <w:p>
      <w:pPr>
        <w:spacing w:after="320"/>
        <w:pBdr>
          <w:bottom w:val="single" w:sz="10" w:space="8" w:color="C62A26"/>
        </w:pBdr>
        <w:keepNext w:val="1"/>
      </w:pPr>
      <w:r>
        <w:rPr>
          <w:rFonts w:ascii="Bebas Neue" w:hAnsi="Bebas Neue" w:cs="Bebas Neue" w:eastAsia="Bebas Neue"/>
          <w:b w:val="0"/>
          <w:i w:val="0"/>
          <w:color w:val="1C1A17"/>
          <w:sz w:val="54"/>
          <w:spacing w:val="10"/>
        </w:rPr>
        <w:t>Spécifications détaillées</w:t>
      </w:r>
    </w:p>
    <w:p>
      <w:pPr>
        <w:spacing w:before="320" w:after="100"/>
        <w:keepNext w:val="1"/>
      </w:pPr>
      <w:r>
        <w:rPr>
          <w:rFonts w:ascii="IBM Plex Mono" w:hAnsi="IBM Plex Mono" w:cs="IBM Plex Mono" w:eastAsia="IBM Plex Mono"/>
          <w:b/>
          <w:i w:val="0"/>
          <w:color w:val="C62A26"/>
          <w:sz w:val="26"/>
        </w:rPr>
        <w:t xml:space="preserve">6.1   </w:t>
      </w:r>
      <w:r>
        <w:rPr>
          <w:rFonts w:ascii="Bebas Neue" w:hAnsi="Bebas Neue" w:cs="Bebas Neue" w:eastAsia="Bebas Neue"/>
          <w:b w:val="0"/>
          <w:i w:val="0"/>
          <w:color w:val="1C1A17"/>
          <w:sz w:val="36"/>
          <w:spacing w:val="10"/>
        </w:rPr>
        <w:t>Diagramme de classes</w:t>
      </w:r>
    </w:p>
    <w:p>
      <w:pPr>
        <w:spacing w:before="0" w:after="80" w:line="312" w:lineRule="auto"/>
        <w:ind w:firstLine="397"/>
        <w:jc w:val="both"/>
      </w:pPr>
      <w:r>
        <w:rPr>
          <w:rFonts w:ascii="IBM Plex Serif" w:hAnsi="IBM Plex Serif" w:cs="IBM Plex Serif" w:eastAsia="IBM Plex Serif"/>
          <w:b w:val="0"/>
          <w:i w:val="0"/>
          <w:color w:val="1C1A17"/>
          <w:sz w:val="21"/>
        </w:rPr>
        <w:t>Le modèle du domaine comporte douze classes persistantes et un ensemble d'énumérations qui vivent dans le paquet partagé. Le diagramme ci-dessous en donne la structure complète, attributs et cardinalités comprises.</w:t>
      </w:r>
    </w:p>
    <w:p>
      <w:pPr>
        <w:spacing w:before="200" w:after="80"/>
        <w:jc w:val="center"/>
      </w:pPr>
      <w:r>
        <w:drawing>
          <wp:inline xmlns:a="http://schemas.openxmlformats.org/drawingml/2006/main" xmlns:pic="http://schemas.openxmlformats.org/drawingml/2006/picture">
            <wp:extent cx="5904000" cy="4546080"/>
            <wp:docPr id="5" name="Picture 5"/>
            <wp:cNvGraphicFramePr>
              <a:graphicFrameLocks noChangeAspect="1"/>
            </wp:cNvGraphicFramePr>
            <a:graphic>
              <a:graphicData uri="http://schemas.openxmlformats.org/drawingml/2006/picture">
                <pic:pic>
                  <pic:nvPicPr>
                    <pic:cNvPr id="0" name="04-classes.png"/>
                    <pic:cNvPicPr/>
                  </pic:nvPicPr>
                  <pic:blipFill>
                    <a:blip r:embed="rId13"/>
                    <a:stretch>
                      <a:fillRect/>
                    </a:stretch>
                  </pic:blipFill>
                  <pic:spPr>
                    <a:xfrm>
                      <a:off x="0" y="0"/>
                      <a:ext cx="5904000" cy="4546080"/>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4 — </w:t>
      </w:r>
      <w:r>
        <w:rPr>
          <w:rFonts w:ascii="IBM Plex Sans" w:hAnsi="IBM Plex Sans" w:cs="IBM Plex Sans" w:eastAsia="IBM Plex Sans"/>
          <w:b w:val="0"/>
          <w:i w:val="0"/>
          <w:color w:val="55514A"/>
          <w:sz w:val="18"/>
        </w:rPr>
        <w:t>Diagramme de classes du domaine : entités, attributs, opérations et cardinalités</w:t>
      </w:r>
    </w:p>
    <w:p>
      <w:pPr>
        <w:spacing w:before="0" w:after="80" w:line="312" w:lineRule="auto"/>
        <w:ind w:firstLine="397"/>
        <w:jc w:val="both"/>
      </w:pPr>
      <w:r>
        <w:rPr>
          <w:rFonts w:ascii="IBM Plex Serif" w:hAnsi="IBM Plex Serif" w:cs="IBM Plex Serif" w:eastAsia="IBM Plex Serif"/>
          <w:b w:val="0"/>
          <w:i w:val="0"/>
          <w:color w:val="1C1A17"/>
          <w:sz w:val="21"/>
        </w:rPr>
        <w:t>Trois compositions structurent le modèle, et il faut noter qu'il s'agit bien de compositions et non de simples agrégations : les entités portées n'ont aucune existence indépendante de leur conteneur. Le journal d'événements n'existe pas sans sa demande. Les relevés de position n'existent pas sans elle non plus. Les alertes de conduite n'existent pas sans leur session. La suppression du conteneur emporte celle des éléments portés, ce qui se traduit en base par des suppressions en cascade.</w:t>
      </w:r>
    </w:p>
    <w:p>
      <w:pPr>
        <w:spacing w:before="0" w:after="80" w:line="312" w:lineRule="auto"/>
        <w:ind w:firstLine="397"/>
        <w:jc w:val="both"/>
      </w:pPr>
      <w:r>
        <w:rPr>
          <w:rFonts w:ascii="IBM Plex Serif" w:hAnsi="IBM Plex Serif" w:cs="IBM Plex Serif" w:eastAsia="IBM Plex Serif"/>
          <w:b w:val="0"/>
          <w:i w:val="0"/>
          <w:color w:val="1C1A17"/>
          <w:sz w:val="21"/>
        </w:rPr>
        <w:t>Deux points du modèle demandent une explication, parce qu'ils s'écartent de ce que l'on écrirait spontanément.</w:t>
      </w:r>
    </w:p>
    <w:p>
      <w:pPr>
        <w:spacing w:before="0" w:after="80" w:line="312" w:lineRule="auto"/>
        <w:ind w:firstLine="397"/>
        <w:jc w:val="both"/>
      </w:pPr>
      <w:r>
        <w:rPr>
          <w:rFonts w:ascii="IBM Plex Serif" w:hAnsi="IBM Plex Serif" w:cs="IBM Plex Serif" w:eastAsia="IBM Plex Serif"/>
          <w:b w:val="0"/>
          <w:i w:val="0"/>
          <w:color w:val="1C1A17"/>
          <w:sz w:val="21"/>
        </w:rPr>
        <w:t>Le premier concerne la classe Utilisateur et son attribut de points de fidélité. Cet attribut est un cache, pas une vérité. La vérité comptable est la somme des mouvements du journal de fidélité ; la colonne n'existe que pour éviter une agrégation à chaque affichage d'écran. Le distinguer explicitement évite qu'un développeur futur ne la mette à jour directement, ce qui reviendrait à créditer des points sans laisser de trace.</w:t>
      </w:r>
    </w:p>
    <w:p>
      <w:pPr>
        <w:spacing w:before="0" w:after="80" w:line="312" w:lineRule="auto"/>
        <w:ind w:firstLine="397"/>
        <w:jc w:val="both"/>
      </w:pPr>
      <w:r>
        <w:rPr>
          <w:rFonts w:ascii="IBM Plex Serif" w:hAnsi="IBM Plex Serif" w:cs="IBM Plex Serif" w:eastAsia="IBM Plex Serif"/>
          <w:b w:val="0"/>
          <w:i w:val="0"/>
          <w:color w:val="1C1A17"/>
          <w:sz w:val="21"/>
        </w:rPr>
        <w:t>Le second concerne la séparation entre les points et les grades. Ce sont deux mesures distinctes qui ne disent pas la même chose. Les points sont une monnaie : ils s'accumulent, se dépensent, et peuvent provenir d'un avis publié ou d'un parrainage sans qu'aucun véhicule n'ait été réparé. Le grade est une ancienneté de client : il ne se dépense pas, et il ne récompense que ce qui s'est réellement passé au bord de la route, c'est-à-dire un compte de réparations terminées. Les faire dépendre l'un de l'autre reviendrait à rétrograder quelqu'un qui convertit ses points en remise, ce qui serait absurde.</w:t>
      </w:r>
    </w:p>
    <w:p>
      <w:pPr>
        <w:spacing w:before="200" w:after="80"/>
        <w:keepNext w:val="1"/>
      </w:pPr>
      <w:r>
        <w:rPr>
          <w:rFonts w:ascii="IBM Plex Sans" w:hAnsi="IBM Plex Sans" w:cs="IBM Plex Sans" w:eastAsia="IBM Plex Sans"/>
          <w:b/>
          <w:i w:val="0"/>
          <w:color w:val="C62A26"/>
          <w:sz w:val="18"/>
        </w:rPr>
        <w:t xml:space="preserve">Tableau 19 — </w:t>
      </w:r>
      <w:r>
        <w:rPr>
          <w:rFonts w:ascii="IBM Plex Sans" w:hAnsi="IBM Plex Sans" w:cs="IBM Plex Sans" w:eastAsia="IBM Plex Sans"/>
          <w:b w:val="0"/>
          <w:i w:val="0"/>
          <w:color w:val="55514A"/>
          <w:sz w:val="18"/>
        </w:rPr>
        <w:t>Grades de fidélité et remises associées chez les garages certifiés</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Grade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Réparations terminées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Remise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Membre</w:t>
            </w:r>
          </w:p>
        </w:tc>
        <w:tc>
          <w:tcPr>
            <w:tcW w:type="dxa" w:w="3099"/>
          </w:tcPr>
          <w:p>
            <w:pPr>
              <w:spacing w:before="60" w:after="60" w:line="269" w:lineRule="auto"/>
            </w:pPr>
            <w:r/>
            <w:r>
              <w:rPr>
                <w:rFonts w:ascii="IBM Plex Serif" w:hAnsi="IBM Plex Serif" w:cs="IBM Plex Serif" w:eastAsia="IBM Plex Serif"/>
                <w:b w:val="0"/>
                <w:i w:val="0"/>
                <w:color w:val="1C1A17"/>
                <w:sz w:val="18"/>
              </w:rPr>
              <w:t>0</w:t>
            </w:r>
          </w:p>
        </w:tc>
        <w:tc>
          <w:tcPr>
            <w:tcW w:type="dxa" w:w="3099"/>
          </w:tcPr>
          <w:p>
            <w:pPr>
              <w:spacing w:before="60" w:after="60" w:line="269" w:lineRule="auto"/>
            </w:pPr>
            <w:r/>
            <w:r>
              <w:rPr>
                <w:rFonts w:ascii="IBM Plex Serif" w:hAnsi="IBM Plex Serif" w:cs="IBM Plex Serif" w:eastAsia="IBM Plex Serif"/>
                <w:b w:val="0"/>
                <w:i w:val="0"/>
                <w:color w:val="1C1A17"/>
                <w:sz w:val="18"/>
              </w:rPr>
              <w:t>0 %</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Membre Bronze</w:t>
            </w:r>
          </w:p>
        </w:tc>
        <w:tc>
          <w:tcPr>
            <w:tcW w:type="dxa" w:w="3099"/>
          </w:tcPr>
          <w:p>
            <w:pPr>
              <w:spacing w:before="60" w:after="60" w:line="269" w:lineRule="auto"/>
            </w:pPr>
            <w:r/>
            <w:r>
              <w:rPr>
                <w:rFonts w:ascii="IBM Plex Serif" w:hAnsi="IBM Plex Serif" w:cs="IBM Plex Serif" w:eastAsia="IBM Plex Serif"/>
                <w:b w:val="0"/>
                <w:i w:val="0"/>
                <w:color w:val="1C1A17"/>
                <w:sz w:val="18"/>
              </w:rPr>
              <w:t>1</w:t>
            </w:r>
          </w:p>
        </w:tc>
        <w:tc>
          <w:tcPr>
            <w:tcW w:type="dxa" w:w="3099"/>
          </w:tcPr>
          <w:p>
            <w:pPr>
              <w:spacing w:before="60" w:after="60" w:line="269" w:lineRule="auto"/>
            </w:pPr>
            <w:r/>
            <w:r>
              <w:rPr>
                <w:rFonts w:ascii="IBM Plex Serif" w:hAnsi="IBM Plex Serif" w:cs="IBM Plex Serif" w:eastAsia="IBM Plex Serif"/>
                <w:b w:val="0"/>
                <w:i w:val="0"/>
                <w:color w:val="1C1A17"/>
                <w:sz w:val="18"/>
              </w:rPr>
              <w:t>3 %</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Membre Or</w:t>
            </w:r>
          </w:p>
        </w:tc>
        <w:tc>
          <w:tcPr>
            <w:tcW w:type="dxa" w:w="3099"/>
          </w:tcPr>
          <w:p>
            <w:pPr>
              <w:spacing w:before="60" w:after="60" w:line="269" w:lineRule="auto"/>
            </w:pPr>
            <w:r/>
            <w:r>
              <w:rPr>
                <w:rFonts w:ascii="IBM Plex Serif" w:hAnsi="IBM Plex Serif" w:cs="IBM Plex Serif" w:eastAsia="IBM Plex Serif"/>
                <w:b w:val="0"/>
                <w:i w:val="0"/>
                <w:color w:val="1C1A17"/>
                <w:sz w:val="18"/>
              </w:rPr>
              <w:t>10</w:t>
            </w:r>
          </w:p>
        </w:tc>
        <w:tc>
          <w:tcPr>
            <w:tcW w:type="dxa" w:w="3099"/>
          </w:tcPr>
          <w:p>
            <w:pPr>
              <w:spacing w:before="60" w:after="60" w:line="269" w:lineRule="auto"/>
            </w:pPr>
            <w:r/>
            <w:r>
              <w:rPr>
                <w:rFonts w:ascii="IBM Plex Serif" w:hAnsi="IBM Plex Serif" w:cs="IBM Plex Serif" w:eastAsia="IBM Plex Serif"/>
                <w:b w:val="0"/>
                <w:i w:val="0"/>
                <w:color w:val="1C1A17"/>
                <w:sz w:val="18"/>
              </w:rPr>
              <w:t>6 %</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Membre VIP</w:t>
            </w:r>
          </w:p>
        </w:tc>
        <w:tc>
          <w:tcPr>
            <w:tcW w:type="dxa" w:w="3099"/>
          </w:tcPr>
          <w:p>
            <w:pPr>
              <w:spacing w:before="60" w:after="60" w:line="269" w:lineRule="auto"/>
            </w:pPr>
            <w:r/>
            <w:r>
              <w:rPr>
                <w:rFonts w:ascii="IBM Plex Serif" w:hAnsi="IBM Plex Serif" w:cs="IBM Plex Serif" w:eastAsia="IBM Plex Serif"/>
                <w:b w:val="0"/>
                <w:i w:val="0"/>
                <w:color w:val="1C1A17"/>
                <w:sz w:val="18"/>
              </w:rPr>
              <w:t>20</w:t>
            </w:r>
          </w:p>
        </w:tc>
        <w:tc>
          <w:tcPr>
            <w:tcW w:type="dxa" w:w="3099"/>
          </w:tcPr>
          <w:p>
            <w:pPr>
              <w:spacing w:before="60" w:after="60" w:line="269" w:lineRule="auto"/>
            </w:pPr>
            <w:r/>
            <w:r>
              <w:rPr>
                <w:rFonts w:ascii="IBM Plex Serif" w:hAnsi="IBM Plex Serif" w:cs="IBM Plex Serif" w:eastAsia="IBM Plex Serif"/>
                <w:b w:val="0"/>
                <w:i w:val="0"/>
                <w:color w:val="1C1A17"/>
                <w:sz w:val="18"/>
              </w:rPr>
              <w:t>9 %</w:t>
            </w:r>
          </w:p>
        </w:tc>
      </w:tr>
      <w:tr>
        <w:tc>
          <w:tcPr>
            <w:tcW w:type="dxa" w:w="3099"/>
          </w:tcPr>
          <w:p>
            <w:pPr>
              <w:spacing w:before="60" w:after="60" w:line="269" w:lineRule="auto"/>
            </w:pPr>
            <w:r/>
            <w:r>
              <w:rPr>
                <w:rFonts w:ascii="IBM Plex Serif" w:hAnsi="IBM Plex Serif" w:cs="IBM Plex Serif" w:eastAsia="IBM Plex Serif"/>
                <w:b w:val="0"/>
                <w:i w:val="0"/>
                <w:color w:val="1C1A17"/>
                <w:sz w:val="18"/>
              </w:rPr>
              <w:t>VIP Platine</w:t>
            </w:r>
          </w:p>
        </w:tc>
        <w:tc>
          <w:tcPr>
            <w:tcW w:type="dxa" w:w="3099"/>
          </w:tcPr>
          <w:p>
            <w:pPr>
              <w:spacing w:before="60" w:after="60" w:line="269" w:lineRule="auto"/>
            </w:pPr>
            <w:r/>
            <w:r>
              <w:rPr>
                <w:rFonts w:ascii="IBM Plex Serif" w:hAnsi="IBM Plex Serif" w:cs="IBM Plex Serif" w:eastAsia="IBM Plex Serif"/>
                <w:b w:val="0"/>
                <w:i w:val="0"/>
                <w:color w:val="1C1A17"/>
                <w:sz w:val="18"/>
              </w:rPr>
              <w:t>35</w:t>
            </w:r>
          </w:p>
        </w:tc>
        <w:tc>
          <w:tcPr>
            <w:tcW w:type="dxa" w:w="3099"/>
          </w:tcPr>
          <w:p>
            <w:pPr>
              <w:spacing w:before="60" w:after="60" w:line="269" w:lineRule="auto"/>
            </w:pPr>
            <w:r/>
            <w:r>
              <w:rPr>
                <w:rFonts w:ascii="IBM Plex Serif" w:hAnsi="IBM Plex Serif" w:cs="IBM Plex Serif" w:eastAsia="IBM Plex Serif"/>
                <w:b w:val="0"/>
                <w:i w:val="0"/>
                <w:color w:val="1C1A17"/>
                <w:sz w:val="18"/>
              </w:rPr>
              <w:t>12 %</w:t>
            </w:r>
          </w:p>
        </w:tc>
      </w:tr>
      <w:tr>
        <w:tc>
          <w:tcPr>
            <w:tcW w:type="dxa" w:w="3099"/>
          </w:tcPr>
          <w:p>
            <w:pPr>
              <w:spacing w:before="60" w:after="60" w:line="269" w:lineRule="auto"/>
            </w:pPr>
            <w:r/>
            <w:r>
              <w:rPr>
                <w:rFonts w:ascii="IBM Plex Serif" w:hAnsi="IBM Plex Serif" w:cs="IBM Plex Serif" w:eastAsia="IBM Plex Serif"/>
                <w:b w:val="0"/>
                <w:i w:val="0"/>
                <w:color w:val="1C1A17"/>
                <w:sz w:val="18"/>
              </w:rPr>
              <w:t>VIP Diamant</w:t>
            </w:r>
          </w:p>
        </w:tc>
        <w:tc>
          <w:tcPr>
            <w:tcW w:type="dxa" w:w="3099"/>
          </w:tcPr>
          <w:p>
            <w:pPr>
              <w:spacing w:before="60" w:after="60" w:line="269" w:lineRule="auto"/>
            </w:pPr>
            <w:r/>
            <w:r>
              <w:rPr>
                <w:rFonts w:ascii="IBM Plex Serif" w:hAnsi="IBM Plex Serif" w:cs="IBM Plex Serif" w:eastAsia="IBM Plex Serif"/>
                <w:b w:val="0"/>
                <w:i w:val="0"/>
                <w:color w:val="1C1A17"/>
                <w:sz w:val="18"/>
              </w:rPr>
              <w:t>60</w:t>
            </w:r>
          </w:p>
        </w:tc>
        <w:tc>
          <w:tcPr>
            <w:tcW w:type="dxa" w:w="3099"/>
          </w:tcPr>
          <w:p>
            <w:pPr>
              <w:spacing w:before="60" w:after="60" w:line="269" w:lineRule="auto"/>
            </w:pPr>
            <w:r/>
            <w:r>
              <w:rPr>
                <w:rFonts w:ascii="IBM Plex Serif" w:hAnsi="IBM Plex Serif" w:cs="IBM Plex Serif" w:eastAsia="IBM Plex Serif"/>
                <w:b w:val="0"/>
                <w:i w:val="0"/>
                <w:color w:val="1C1A17"/>
                <w:sz w:val="18"/>
              </w:rPr>
              <w:t>15 %</w:t>
            </w:r>
          </w:p>
        </w:tc>
      </w:tr>
    </w:tbl>
    <w:p>
      <w:pPr>
        <w:spacing w:after="160"/>
      </w:pPr>
    </w:p>
    <w:p>
      <w:pPr>
        <w:spacing w:before="200" w:after="80"/>
        <w:keepNext w:val="1"/>
      </w:pPr>
      <w:r>
        <w:rPr>
          <w:rFonts w:ascii="IBM Plex Sans" w:hAnsi="IBM Plex Sans" w:cs="IBM Plex Sans" w:eastAsia="IBM Plex Sans"/>
          <w:b/>
          <w:i w:val="0"/>
          <w:color w:val="C62A26"/>
          <w:sz w:val="18"/>
        </w:rPr>
        <w:t xml:space="preserve">Tableau 20 — </w:t>
      </w:r>
      <w:r>
        <w:rPr>
          <w:rFonts w:ascii="IBM Plex Sans" w:hAnsi="IBM Plex Sans" w:cs="IBM Plex Sans" w:eastAsia="IBM Plex Sans"/>
          <w:b w:val="0"/>
          <w:i w:val="0"/>
          <w:color w:val="55514A"/>
          <w:sz w:val="18"/>
        </w:rPr>
        <w:t>Barème de points par action vérifiée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Action</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Points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Bénéficiaire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Intervention terminée</w:t>
            </w:r>
          </w:p>
        </w:tc>
        <w:tc>
          <w:tcPr>
            <w:tcW w:type="dxa" w:w="3099"/>
          </w:tcPr>
          <w:p>
            <w:pPr>
              <w:spacing w:before="60" w:after="60" w:line="269" w:lineRule="auto"/>
            </w:pPr>
            <w:r/>
            <w:r>
              <w:rPr>
                <w:rFonts w:ascii="IBM Plex Serif" w:hAnsi="IBM Plex Serif" w:cs="IBM Plex Serif" w:eastAsia="IBM Plex Serif"/>
                <w:b w:val="0"/>
                <w:i w:val="0"/>
                <w:color w:val="1C1A17"/>
                <w:sz w:val="18"/>
              </w:rPr>
              <w:t>50</w:t>
            </w:r>
          </w:p>
        </w:tc>
        <w:tc>
          <w:tcPr>
            <w:tcW w:type="dxa" w:w="3099"/>
          </w:tcPr>
          <w:p>
            <w:pPr>
              <w:spacing w:before="60" w:after="60" w:line="269" w:lineRule="auto"/>
            </w:pPr>
            <w:r/>
            <w:r>
              <w:rPr>
                <w:rFonts w:ascii="IBM Plex Serif" w:hAnsi="IBM Plex Serif" w:cs="IBM Plex Serif" w:eastAsia="IBM Plex Serif"/>
                <w:b w:val="0"/>
                <w:i w:val="0"/>
                <w:color w:val="1C1A17"/>
                <w:sz w:val="18"/>
              </w:rPr>
              <w:t>Le client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Avis publié</w:t>
            </w:r>
          </w:p>
        </w:tc>
        <w:tc>
          <w:tcPr>
            <w:tcW w:type="dxa" w:w="3099"/>
          </w:tcPr>
          <w:p>
            <w:pPr>
              <w:spacing w:before="60" w:after="60" w:line="269" w:lineRule="auto"/>
            </w:pPr>
            <w:r/>
            <w:r>
              <w:rPr>
                <w:rFonts w:ascii="IBM Plex Serif" w:hAnsi="IBM Plex Serif" w:cs="IBM Plex Serif" w:eastAsia="IBM Plex Serif"/>
                <w:b w:val="0"/>
                <w:i w:val="0"/>
                <w:color w:val="1C1A17"/>
                <w:sz w:val="18"/>
              </w:rPr>
              <w:t>20</w:t>
            </w:r>
          </w:p>
        </w:tc>
        <w:tc>
          <w:tcPr>
            <w:tcW w:type="dxa" w:w="3099"/>
          </w:tcPr>
          <w:p>
            <w:pPr>
              <w:spacing w:before="60" w:after="60" w:line="269" w:lineRule="auto"/>
            </w:pPr>
            <w:r/>
            <w:r>
              <w:rPr>
                <w:rFonts w:ascii="IBM Plex Serif" w:hAnsi="IBM Plex Serif" w:cs="IBM Plex Serif" w:eastAsia="IBM Plex Serif"/>
                <w:b w:val="0"/>
                <w:i w:val="0"/>
                <w:color w:val="1C1A17"/>
                <w:sz w:val="18"/>
              </w:rPr>
              <w:t>L'auteur de l'avis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Parrainage abouti</w:t>
            </w:r>
          </w:p>
        </w:tc>
        <w:tc>
          <w:tcPr>
            <w:tcW w:type="dxa" w:w="3099"/>
          </w:tcPr>
          <w:p>
            <w:pPr>
              <w:spacing w:before="60" w:after="60" w:line="269" w:lineRule="auto"/>
            </w:pPr>
            <w:r/>
            <w:r>
              <w:rPr>
                <w:rFonts w:ascii="IBM Plex Serif" w:hAnsi="IBM Plex Serif" w:cs="IBM Plex Serif" w:eastAsia="IBM Plex Serif"/>
                <w:b w:val="0"/>
                <w:i w:val="0"/>
                <w:color w:val="1C1A17"/>
                <w:sz w:val="18"/>
              </w:rPr>
              <w:t>100</w:t>
            </w:r>
          </w:p>
        </w:tc>
        <w:tc>
          <w:tcPr>
            <w:tcW w:type="dxa" w:w="3099"/>
          </w:tcPr>
          <w:p>
            <w:pPr>
              <w:spacing w:before="60" w:after="60" w:line="269" w:lineRule="auto"/>
            </w:pPr>
            <w:r/>
            <w:r>
              <w:rPr>
                <w:rFonts w:ascii="IBM Plex Serif" w:hAnsi="IBM Plex Serif" w:cs="IBM Plex Serif" w:eastAsia="IBM Plex Serif"/>
                <w:b w:val="0"/>
                <w:i w:val="0"/>
                <w:color w:val="1C1A17"/>
                <w:sz w:val="18"/>
              </w:rPr>
              <w:t>Le parrain, à la première intervention du filleul</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Inscription parrainée</w:t>
            </w:r>
          </w:p>
        </w:tc>
        <w:tc>
          <w:tcPr>
            <w:tcW w:type="dxa" w:w="3099"/>
          </w:tcPr>
          <w:p>
            <w:pPr>
              <w:spacing w:before="60" w:after="60" w:line="269" w:lineRule="auto"/>
            </w:pPr>
            <w:r/>
            <w:r>
              <w:rPr>
                <w:rFonts w:ascii="IBM Plex Serif" w:hAnsi="IBM Plex Serif" w:cs="IBM Plex Serif" w:eastAsia="IBM Plex Serif"/>
                <w:b w:val="0"/>
                <w:i w:val="0"/>
                <w:color w:val="1C1A17"/>
                <w:sz w:val="18"/>
              </w:rPr>
              <w:t>30</w:t>
            </w:r>
          </w:p>
        </w:tc>
        <w:tc>
          <w:tcPr>
            <w:tcW w:type="dxa" w:w="3099"/>
          </w:tcPr>
          <w:p>
            <w:pPr>
              <w:spacing w:before="60" w:after="60" w:line="269" w:lineRule="auto"/>
            </w:pPr>
            <w:r/>
            <w:r>
              <w:rPr>
                <w:rFonts w:ascii="IBM Plex Serif" w:hAnsi="IBM Plex Serif" w:cs="IBM Plex Serif" w:eastAsia="IBM Plex Serif"/>
                <w:b w:val="0"/>
                <w:i w:val="0"/>
                <w:color w:val="1C1A17"/>
                <w:sz w:val="18"/>
              </w:rPr>
              <w:t>Le filleul, à la même occasion</w:t>
            </w:r>
          </w:p>
        </w:tc>
      </w:tr>
    </w:tbl>
    <w:p>
      <w:pPr>
        <w:spacing w:after="160"/>
      </w:pPr>
    </w:p>
    <w:p>
      <w:pPr>
        <w:spacing w:before="320" w:after="100"/>
        <w:keepNext w:val="1"/>
      </w:pPr>
      <w:r>
        <w:rPr>
          <w:rFonts w:ascii="IBM Plex Mono" w:hAnsi="IBM Plex Mono" w:cs="IBM Plex Mono" w:eastAsia="IBM Plex Mono"/>
          <w:b/>
          <w:i w:val="0"/>
          <w:color w:val="C62A26"/>
          <w:sz w:val="26"/>
        </w:rPr>
        <w:t xml:space="preserve">6.2   </w:t>
      </w:r>
      <w:r>
        <w:rPr>
          <w:rFonts w:ascii="Bebas Neue" w:hAnsi="Bebas Neue" w:cs="Bebas Neue" w:eastAsia="Bebas Neue"/>
          <w:b w:val="0"/>
          <w:i w:val="0"/>
          <w:color w:val="1C1A17"/>
          <w:sz w:val="36"/>
          <w:spacing w:val="10"/>
        </w:rPr>
        <w:t>Diagramme d'états-transitions de la demande d'assistance</w:t>
      </w:r>
    </w:p>
    <w:p>
      <w:pPr>
        <w:spacing w:before="0" w:after="80" w:line="312" w:lineRule="auto"/>
        <w:ind w:firstLine="397"/>
        <w:jc w:val="both"/>
      </w:pPr>
      <w:r>
        <w:rPr>
          <w:rFonts w:ascii="IBM Plex Serif" w:hAnsi="IBM Plex Serif" w:cs="IBM Plex Serif" w:eastAsia="IBM Plex Serif"/>
          <w:b w:val="0"/>
          <w:i w:val="0"/>
          <w:color w:val="1C1A17"/>
          <w:sz w:val="21"/>
        </w:rPr>
        <w:t>La demande d'assistance est l'entité qui porte le cycle de vie du produit. Sa machine à états compte sept états dont deux terminaux.</w:t>
      </w:r>
    </w:p>
    <w:p>
      <w:pPr>
        <w:spacing w:before="200" w:after="80"/>
        <w:jc w:val="center"/>
      </w:pPr>
      <w:r>
        <w:drawing>
          <wp:inline xmlns:a="http://schemas.openxmlformats.org/drawingml/2006/main" xmlns:pic="http://schemas.openxmlformats.org/drawingml/2006/picture">
            <wp:extent cx="5904000" cy="4287212"/>
            <wp:docPr id="6" name="Picture 6"/>
            <wp:cNvGraphicFramePr>
              <a:graphicFrameLocks noChangeAspect="1"/>
            </wp:cNvGraphicFramePr>
            <a:graphic>
              <a:graphicData uri="http://schemas.openxmlformats.org/drawingml/2006/picture">
                <pic:pic>
                  <pic:nvPicPr>
                    <pic:cNvPr id="0" name="03-etats-transitions.png"/>
                    <pic:cNvPicPr/>
                  </pic:nvPicPr>
                  <pic:blipFill>
                    <a:blip r:embed="rId14"/>
                    <a:stretch>
                      <a:fillRect/>
                    </a:stretch>
                  </pic:blipFill>
                  <pic:spPr>
                    <a:xfrm>
                      <a:off x="0" y="0"/>
                      <a:ext cx="5904000" cy="4287212"/>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5 — </w:t>
      </w:r>
      <w:r>
        <w:rPr>
          <w:rFonts w:ascii="IBM Plex Sans" w:hAnsi="IBM Plex Sans" w:cs="IBM Plex Sans" w:eastAsia="IBM Plex Sans"/>
          <w:b w:val="0"/>
          <w:i w:val="0"/>
          <w:color w:val="55514A"/>
          <w:sz w:val="18"/>
        </w:rPr>
        <w:t>Cycle de vie d'une demande d'assistance, avec la garde inscrite en base</w:t>
      </w:r>
    </w:p>
    <w:p>
      <w:pPr>
        <w:spacing w:before="0" w:after="80" w:line="312" w:lineRule="auto"/>
        <w:ind w:firstLine="397"/>
        <w:jc w:val="both"/>
      </w:pPr>
      <w:r>
        <w:rPr>
          <w:rFonts w:ascii="IBM Plex Serif" w:hAnsi="IBM Plex Serif" w:cs="IBM Plex Serif" w:eastAsia="IBM Plex Serif"/>
          <w:b w:val="0"/>
          <w:i w:val="0"/>
          <w:color w:val="1C1A17"/>
          <w:sz w:val="21"/>
        </w:rPr>
        <w:t>Le chemin nominal est linéaire : la demande naît en attente de choix de garage, passe en attente de réponse dès qu'un garage est retenu, puis en acceptée, puis en route lorsque le garagiste se déclare parti. Elle entre ensuite dans un état intermédiaire d'attente de la seconde confirmation, franchi lorsque la première des deux parties confirme son arrivée, et se clôt à la seconde confirmation.</w:t>
      </w:r>
    </w:p>
    <w:p>
      <w:pPr>
        <w:spacing w:before="0" w:after="80" w:line="312" w:lineRule="auto"/>
        <w:ind w:firstLine="397"/>
        <w:jc w:val="both"/>
      </w:pPr>
      <w:r>
        <w:rPr>
          <w:rFonts w:ascii="IBM Plex Serif" w:hAnsi="IBM Plex Serif" w:cs="IBM Plex Serif" w:eastAsia="IBM Plex Serif"/>
          <w:b w:val="0"/>
          <w:i w:val="0"/>
          <w:color w:val="1C1A17"/>
          <w:sz w:val="21"/>
        </w:rPr>
        <w:t>Deux transitions sortent de ce chemin et méritent d'être commentées.</w:t>
      </w:r>
    </w:p>
    <w:p>
      <w:pPr>
        <w:spacing w:before="0" w:after="80" w:line="312" w:lineRule="auto"/>
        <w:ind w:firstLine="397"/>
        <w:jc w:val="both"/>
      </w:pPr>
      <w:r>
        <w:rPr>
          <w:rFonts w:ascii="IBM Plex Serif" w:hAnsi="IBM Plex Serif" w:cs="IBM Plex Serif" w:eastAsia="IBM Plex Serif"/>
          <w:b w:val="0"/>
          <w:i w:val="0"/>
          <w:color w:val="1C1A17"/>
          <w:sz w:val="21"/>
        </w:rPr>
        <w:t>La première est le refus. Un garagiste qui ne peut pas intervenir n'avait initialement qu'une seule sortie : annuler. C'est-à-dire fermer la demande de quelqu'un qui est en panne au bord d'une route, et l'obliger à tout ressaisir pour en trouver un autre. Le refus a donc été introduit comme une transition distincte, qui est la seule marche arrière de la machine : elle ramène la demande à son état initial en lui retirant uniquement son garage. La demande conserve son identifiant, son journal et son ancienneté. Cette distinction n'est pas cosmétique : elle préserve dans le journal la seule trace qui permette de mesurer le taux de refus d'un garage, et qui explique après coup pourquoi une demande a traversé trois ateliers avant d'aboutir.</w:t>
      </w:r>
    </w:p>
    <w:p>
      <w:pPr>
        <w:spacing w:before="0" w:after="80" w:line="312" w:lineRule="auto"/>
        <w:ind w:firstLine="397"/>
        <w:jc w:val="both"/>
      </w:pPr>
      <w:r>
        <w:rPr>
          <w:rFonts w:ascii="IBM Plex Serif" w:hAnsi="IBM Plex Serif" w:cs="IBM Plex Serif" w:eastAsia="IBM Plex Serif"/>
          <w:b w:val="0"/>
          <w:i w:val="0"/>
          <w:color w:val="1C1A17"/>
          <w:sz w:val="21"/>
        </w:rPr>
        <w:t>La seconde est l'annulation, accessible depuis tout état non terminal et réservée au client. Elle est terminale.</w:t>
      </w:r>
    </w:p>
    <w:p>
      <w:pPr>
        <w:spacing w:before="0" w:after="80" w:line="312" w:lineRule="auto"/>
        <w:ind w:firstLine="397"/>
        <w:jc w:val="both"/>
      </w:pPr>
      <w:r>
        <w:rPr>
          <w:rFonts w:ascii="IBM Plex Serif" w:hAnsi="IBM Plex Serif" w:cs="IBM Plex Serif" w:eastAsia="IBM Plex Serif"/>
          <w:b w:val="0"/>
          <w:i w:val="0"/>
          <w:color w:val="1C1A17"/>
          <w:sz w:val="21"/>
        </w:rPr>
        <w:t>Une précision s'ajoute depuis l'introduction des deux modes de service, sans qu'aucun état n'ait été créé : la transition de mise en route appartient à celui qui se déplace, et non au garagiste par défaut. Le serveur le vérifie plutôt que de se contenter de masquer le bouton, parce que cet horodatage ouvre la fenêtre de lecture de la trace et qu'un départ déclaré par la mauvaise partie fausserait la preuve d'un trajet réel.</w:t>
      </w:r>
    </w:p>
    <w:p>
      <w:pPr>
        <w:spacing w:before="0" w:after="80" w:line="312" w:lineRule="auto"/>
        <w:ind w:firstLine="397"/>
        <w:jc w:val="both"/>
      </w:pPr>
      <w:r>
        <w:rPr>
          <w:rFonts w:ascii="IBM Plex Serif" w:hAnsi="IBM Plex Serif" w:cs="IBM Plex Serif" w:eastAsia="IBM Plex Serif"/>
          <w:b w:val="0"/>
          <w:i w:val="0"/>
          <w:color w:val="1C1A17"/>
          <w:sz w:val="21"/>
        </w:rPr>
        <w:t>La garde la plus importante de cette machine n'est pas écrite dans le code du serveur mais dans le schéma de la base :</w:t>
      </w:r>
    </w:p>
    <w:p>
      <w:pPr>
        <w:spacing w:before="180" w:after="60"/>
        <w:keepNext w:val="1"/>
      </w:pPr>
      <w:r>
        <w:rPr>
          <w:rFonts w:ascii="IBM Plex Sans" w:hAnsi="IBM Plex Sans" w:cs="IBM Plex Sans" w:eastAsia="IBM Plex Sans"/>
          <w:b w:val="0"/>
          <w:i/>
          <w:color w:val="8A8578"/>
          <w:sz w:val="18"/>
        </w:rPr>
        <w:t>La contrainte qui rend structurellement impossible une clôture non prouvée</w:t>
      </w:r>
    </w:p>
    <w:p>
      <w:pPr>
        <w:spacing w:before="80" w:after="0" w:line="269" w:lineRule="auto"/>
        <w:ind w:left="283"/>
        <w:shd w:val="clear" w:color="auto" w:fill="F6F4EF"/>
      </w:pPr>
      <w:r>
        <w:rPr>
          <w:rFonts w:ascii="IBM Plex Mono" w:hAnsi="IBM Plex Mono" w:cs="IBM Plex Mono" w:eastAsia="IBM Plex Mono"/>
          <w:b w:val="0"/>
          <w:i w:val="0"/>
          <w:color w:val="1C1A17"/>
          <w:sz w:val="17"/>
        </w:rPr>
        <w:t>CONSTRAINT closed_requires_both_arrivals CHECK (</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status &lt;&gt; 'closed'</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OR (garage_arrived_at IS NOT NULL AND client_arrived_at IS NOT NULL)</w:t>
      </w:r>
    </w:p>
    <w:p>
      <w:pPr>
        <w:spacing w:before="0" w:after="80" w:line="269" w:lineRule="auto"/>
        <w:ind w:left="283"/>
        <w:shd w:val="clear" w:color="auto" w:fill="F6F4EF"/>
      </w:pPr>
      <w:r>
        <w:rPr>
          <w:rFonts w:ascii="IBM Plex Mono" w:hAnsi="IBM Plex Mono" w:cs="IBM Plex Mono" w:eastAsia="IBM Plex Mono"/>
          <w:b w:val="0"/>
          <w:i w:val="0"/>
          <w:color w:val="1C1A17"/>
          <w:sz w:val="17"/>
        </w:rPr>
        <w:t>)</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Aucun chemin de code, présent ou futur, ne peut contourner cette contrainte. C'est ce qui garantit qu'aucun point ne sera jamais crédité sans les deux confirmations, quelle que soit la manière dont le serveur évoluera.</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Pourquoi une contrainte plutôt qu'une vérification</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Une vérification écrite dans un service est vraie tant que tous les appelants passent par ce service. Elle cesse de l'être au troisième point d'entrée ajouté six mois plus tard par quelqu'un qui ignore la règle. Une contrainte inscrite dans le schéma reste vraie même quand le code se trompe. Le coût est une migration à écrire ; le bénéfice est une garantie qui ne se dégrade pas avec le temps.</w:t>
      </w:r>
    </w:p>
    <w:p>
      <w:pPr>
        <w:spacing w:before="320" w:after="100"/>
        <w:keepNext w:val="1"/>
      </w:pPr>
      <w:r>
        <w:rPr>
          <w:rFonts w:ascii="IBM Plex Mono" w:hAnsi="IBM Plex Mono" w:cs="IBM Plex Mono" w:eastAsia="IBM Plex Mono"/>
          <w:b/>
          <w:i w:val="0"/>
          <w:color w:val="C62A26"/>
          <w:sz w:val="26"/>
        </w:rPr>
        <w:t xml:space="preserve">6.3   </w:t>
      </w:r>
      <w:r>
        <w:rPr>
          <w:rFonts w:ascii="Bebas Neue" w:hAnsi="Bebas Neue" w:cs="Bebas Neue" w:eastAsia="Bebas Neue"/>
          <w:b w:val="0"/>
          <w:i w:val="0"/>
          <w:color w:val="1C1A17"/>
          <w:sz w:val="36"/>
          <w:spacing w:val="10"/>
        </w:rPr>
        <w:t>Diagramme de séquence du parcours d'assistance</w:t>
      </w:r>
    </w:p>
    <w:p>
      <w:pPr>
        <w:spacing w:before="0" w:after="80" w:line="312" w:lineRule="auto"/>
        <w:ind w:firstLine="397"/>
        <w:jc w:val="both"/>
      </w:pPr>
      <w:r>
        <w:rPr>
          <w:rFonts w:ascii="IBM Plex Serif" w:hAnsi="IBM Plex Serif" w:cs="IBM Plex Serif" w:eastAsia="IBM Plex Serif"/>
          <w:b w:val="0"/>
          <w:i w:val="0"/>
          <w:color w:val="1C1A17"/>
          <w:sz w:val="21"/>
        </w:rPr>
        <w:t>Le diagramme suivant déroule un parcours complet, de l'appui sur le bouton d'urgence jusqu'au crédit de fidélité, en faisant apparaître les six participants réels.</w:t>
      </w:r>
    </w:p>
    <w:p>
      <w:pPr>
        <w:spacing w:before="200" w:after="80"/>
        <w:jc w:val="center"/>
      </w:pPr>
      <w:r>
        <w:drawing>
          <wp:inline xmlns:a="http://schemas.openxmlformats.org/drawingml/2006/main" xmlns:pic="http://schemas.openxmlformats.org/drawingml/2006/picture">
            <wp:extent cx="5904000" cy="4918486"/>
            <wp:docPr id="7" name="Picture 7"/>
            <wp:cNvGraphicFramePr>
              <a:graphicFrameLocks noChangeAspect="1"/>
            </wp:cNvGraphicFramePr>
            <a:graphic>
              <a:graphicData uri="http://schemas.openxmlformats.org/drawingml/2006/picture">
                <pic:pic>
                  <pic:nvPicPr>
                    <pic:cNvPr id="0" name="05-sequence-sos.png"/>
                    <pic:cNvPicPr/>
                  </pic:nvPicPr>
                  <pic:blipFill>
                    <a:blip r:embed="rId15"/>
                    <a:stretch>
                      <a:fillRect/>
                    </a:stretch>
                  </pic:blipFill>
                  <pic:spPr>
                    <a:xfrm>
                      <a:off x="0" y="0"/>
                      <a:ext cx="5904000" cy="4918486"/>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6 — </w:t>
      </w:r>
      <w:r>
        <w:rPr>
          <w:rFonts w:ascii="IBM Plex Sans" w:hAnsi="IBM Plex Sans" w:cs="IBM Plex Sans" w:eastAsia="IBM Plex Sans"/>
          <w:b w:val="0"/>
          <w:i w:val="0"/>
          <w:color w:val="55514A"/>
          <w:sz w:val="18"/>
        </w:rPr>
        <w:t>Séquence complète d'une intervention, de la déclaration de panne à la clôture</w:t>
      </w:r>
    </w:p>
    <w:p>
      <w:pPr>
        <w:spacing w:before="0" w:after="80" w:line="312" w:lineRule="auto"/>
        <w:ind w:firstLine="397"/>
        <w:jc w:val="both"/>
      </w:pPr>
      <w:r>
        <w:rPr>
          <w:rFonts w:ascii="IBM Plex Serif" w:hAnsi="IBM Plex Serif" w:cs="IBM Plex Serif" w:eastAsia="IBM Plex Serif"/>
          <w:b w:val="0"/>
          <w:i w:val="0"/>
          <w:color w:val="1C1A17"/>
          <w:sz w:val="21"/>
        </w:rPr>
        <w:t>Plusieurs points de ce déroulé sont des décisions de conception plutôt que des évidences.</w:t>
      </w:r>
    </w:p>
    <w:p>
      <w:pPr>
        <w:spacing w:before="0" w:after="80" w:line="312" w:lineRule="auto"/>
        <w:ind w:firstLine="397"/>
        <w:jc w:val="both"/>
      </w:pPr>
      <w:r>
        <w:rPr>
          <w:rFonts w:ascii="IBM Plex Serif" w:hAnsi="IBM Plex Serif" w:cs="IBM Plex Serif" w:eastAsia="IBM Plex Serif"/>
          <w:b w:val="0"/>
          <w:i w:val="0"/>
          <w:color w:val="1C1A17"/>
          <w:sz w:val="21"/>
        </w:rPr>
        <w:t>L'envoi de la déclaration de panne retourne les garages classés dans la même réponse. Il aurait été plus régulier de créer la demande puis d'interroger une seconde route pour obtenir les candidats. Sur un réseau qui met deux secondes à répondre, cette régularité coûte deux secondes à quelqu'un qui est arrêté sur une chaussée. Le choix a été d'économiser l'aller-retour.</w:t>
      </w:r>
    </w:p>
    <w:p>
      <w:pPr>
        <w:spacing w:before="0" w:after="80" w:line="312" w:lineRule="auto"/>
        <w:ind w:firstLine="397"/>
        <w:jc w:val="both"/>
      </w:pPr>
      <w:r>
        <w:rPr>
          <w:rFonts w:ascii="IBM Plex Serif" w:hAnsi="IBM Plex Serif" w:cs="IBM Plex Serif" w:eastAsia="IBM Plex Serif"/>
          <w:b w:val="0"/>
          <w:i w:val="0"/>
          <w:color w:val="1C1A17"/>
          <w:sz w:val="21"/>
        </w:rPr>
        <w:t>La notification du garagiste ne passe pas par la salle de la demande, contrairement à tous les autres messages. Elle ne le pourrait pas : au moment où un appel lui est adressé, le garagiste ne connaît pas encore cette demande et n'a donc rejoint aucune salle. Il est abonné à sa propre salle utilisateur dès l'ouverture de sa connexion, et c'est là que l'appel arrive. Le serveur lui pousse d'ailleurs la liste entière de sa file de travail plutôt qu'un signal l'invitant à recharger : la liste tient en quelques centaines d'octets, là où un aller-retour supplémentaire sur un réseau lent repousse d'autant le moment où il voit la demande.</w:t>
      </w:r>
    </w:p>
    <w:p>
      <w:pPr>
        <w:spacing w:before="0" w:after="80" w:line="312" w:lineRule="auto"/>
        <w:ind w:firstLine="397"/>
        <w:jc w:val="both"/>
      </w:pPr>
      <w:r>
        <w:rPr>
          <w:rFonts w:ascii="IBM Plex Serif" w:hAnsi="IBM Plex Serif" w:cs="IBM Plex Serif" w:eastAsia="IBM Plex Serif"/>
          <w:b w:val="0"/>
          <w:i w:val="0"/>
          <w:color w:val="1C1A17"/>
          <w:sz w:val="21"/>
        </w:rPr>
        <w:t>Le calcul des deux temps d'arrivée est effectué par le serveur à chaque relevé de position reçu, puis diffusé aux deux parties avec l'horodatage d'émission. C'est ce qui permet à l'interface d'afficher l'âge réel de la donnée.</w:t>
      </w:r>
    </w:p>
    <w:p>
      <w:pPr>
        <w:spacing w:before="0" w:after="80" w:line="312" w:lineRule="auto"/>
        <w:ind w:firstLine="397"/>
        <w:jc w:val="both"/>
      </w:pPr>
      <w:r>
        <w:rPr>
          <w:rFonts w:ascii="IBM Plex Serif" w:hAnsi="IBM Plex Serif" w:cs="IBM Plex Serif" w:eastAsia="IBM Plex Serif"/>
          <w:b w:val="0"/>
          <w:i w:val="0"/>
          <w:color w:val="1C1A17"/>
          <w:sz w:val="21"/>
        </w:rPr>
        <w:t>Enfin, la clôture et le crédit sont deux opérations distinctes exécutées dans la même transaction. Le crédit est créé à l'état différé, avec une clé d'idempotence qui interdit à une requête rejouée de créditer deux fois.</w:t>
      </w:r>
    </w:p>
    <w:p>
      <w:pPr>
        <w:spacing w:before="320" w:after="100"/>
        <w:keepNext w:val="1"/>
      </w:pPr>
      <w:r>
        <w:rPr>
          <w:rFonts w:ascii="IBM Plex Mono" w:hAnsi="IBM Plex Mono" w:cs="IBM Plex Mono" w:eastAsia="IBM Plex Mono"/>
          <w:b/>
          <w:i w:val="0"/>
          <w:color w:val="C62A26"/>
          <w:sz w:val="26"/>
        </w:rPr>
        <w:t xml:space="preserve">6.4   </w:t>
      </w:r>
      <w:r>
        <w:rPr>
          <w:rFonts w:ascii="Bebas Neue" w:hAnsi="Bebas Neue" w:cs="Bebas Neue" w:eastAsia="Bebas Neue"/>
          <w:b w:val="0"/>
          <w:i w:val="0"/>
          <w:color w:val="1C1A17"/>
          <w:sz w:val="36"/>
          <w:spacing w:val="10"/>
        </w:rPr>
        <w:t>Diagramme de séquence du mode dégradé</w:t>
      </w:r>
    </w:p>
    <w:p>
      <w:pPr>
        <w:spacing w:before="0" w:after="80" w:line="312" w:lineRule="auto"/>
        <w:ind w:firstLine="397"/>
        <w:jc w:val="both"/>
      </w:pPr>
      <w:r>
        <w:rPr>
          <w:rFonts w:ascii="IBM Plex Serif" w:hAnsi="IBM Plex Serif" w:cs="IBM Plex Serif" w:eastAsia="IBM Plex Serif"/>
          <w:b w:val="0"/>
          <w:i w:val="0"/>
          <w:color w:val="1C1A17"/>
          <w:sz w:val="21"/>
        </w:rPr>
        <w:t>Le comportement en réseau dégradé fait l'objet d'un diagramme séparé, parce qu'il constitue une exigence à part entière et non une gestion d'erreur.</w:t>
      </w:r>
    </w:p>
    <w:p>
      <w:pPr>
        <w:spacing w:before="200" w:after="80"/>
        <w:jc w:val="center"/>
      </w:pPr>
      <w:r>
        <w:drawing>
          <wp:inline xmlns:a="http://schemas.openxmlformats.org/drawingml/2006/main" xmlns:pic="http://schemas.openxmlformats.org/drawingml/2006/picture">
            <wp:extent cx="5904000" cy="4287212"/>
            <wp:docPr id="8" name="Picture 8"/>
            <wp:cNvGraphicFramePr>
              <a:graphicFrameLocks noChangeAspect="1"/>
            </wp:cNvGraphicFramePr>
            <a:graphic>
              <a:graphicData uri="http://schemas.openxmlformats.org/drawingml/2006/picture">
                <pic:pic>
                  <pic:nvPicPr>
                    <pic:cNvPr id="0" name="06-sequence-reconnexion.png"/>
                    <pic:cNvPicPr/>
                  </pic:nvPicPr>
                  <pic:blipFill>
                    <a:blip r:embed="rId16"/>
                    <a:stretch>
                      <a:fillRect/>
                    </a:stretch>
                  </pic:blipFill>
                  <pic:spPr>
                    <a:xfrm>
                      <a:off x="0" y="0"/>
                      <a:ext cx="5904000" cy="4287212"/>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7 — </w:t>
      </w:r>
      <w:r>
        <w:rPr>
          <w:rFonts w:ascii="IBM Plex Sans" w:hAnsi="IBM Plex Sans" w:cs="IBM Plex Sans" w:eastAsia="IBM Plex Sans"/>
          <w:b w:val="0"/>
          <w:i w:val="0"/>
          <w:color w:val="55514A"/>
          <w:sz w:val="18"/>
        </w:rPr>
        <w:t>Perte de connexion, bascule en mode dégradé et rattrapage par rejeu du journal</w:t>
      </w:r>
    </w:p>
    <w:p>
      <w:pPr>
        <w:spacing w:before="0" w:after="80" w:line="312" w:lineRule="auto"/>
        <w:ind w:firstLine="397"/>
        <w:jc w:val="both"/>
      </w:pPr>
      <w:r>
        <w:rPr>
          <w:rFonts w:ascii="IBM Plex Serif" w:hAnsi="IBM Plex Serif" w:cs="IBM Plex Serif" w:eastAsia="IBM Plex Serif"/>
          <w:b w:val="0"/>
          <w:i w:val="0"/>
          <w:color w:val="1C1A17"/>
          <w:sz w:val="21"/>
        </w:rPr>
        <w:t>Le mécanisme repose entièrement sur le fait que le journal des événements est en ajout seul et numéroté. Chaque événement porte un numéro de séquence unique au sein de sa demande, et le client conserve le dernier numéro qu'il a reçu. Quand le canal temps réel meurt, l'application bascule sur une interrogation périodique de la route d'état — la même route, exactement, qui sert au premier chargement — et affiche un bandeau qui dit honnêtement que la connexion est dégradée. La donnée affichée reste juste, elle est simplement moins fraîche, et l'indicateur d'âge le montre.</w:t>
      </w:r>
    </w:p>
    <w:p>
      <w:pPr>
        <w:spacing w:before="0" w:after="80" w:line="312" w:lineRule="auto"/>
        <w:ind w:firstLine="397"/>
        <w:jc w:val="both"/>
      </w:pPr>
      <w:r>
        <w:rPr>
          <w:rFonts w:ascii="IBM Plex Serif" w:hAnsi="IBM Plex Serif" w:cs="IBM Plex Serif" w:eastAsia="IBM Plex Serif"/>
          <w:b w:val="0"/>
          <w:i w:val="0"/>
          <w:color w:val="1C1A17"/>
          <w:sz w:val="21"/>
        </w:rPr>
        <w:t>Au retour du réseau, le client se réannonce en transmettant son dernier numéro de séquence. Le serveur lit dans le journal tous les événements postérieurs et les lui rejoue dans l'ordre. L'écran se remet à jour sans que l'utilisateur ait rien à faire, et sans qu'aucun état n'ait été perdu.</w:t>
      </w:r>
    </w:p>
    <w:p>
      <w:pPr>
        <w:spacing w:before="0" w:after="80" w:line="312" w:lineRule="auto"/>
        <w:ind w:firstLine="397"/>
        <w:jc w:val="both"/>
      </w:pPr>
      <w:r>
        <w:rPr>
          <w:rFonts w:ascii="IBM Plex Serif" w:hAnsi="IBM Plex Serif" w:cs="IBM Plex Serif" w:eastAsia="IBM Plex Serif"/>
          <w:b w:val="0"/>
          <w:i w:val="0"/>
          <w:color w:val="1C1A17"/>
          <w:sz w:val="21"/>
        </w:rPr>
        <w:t>Ce dispositif a un effet secondaire appréciable : il rend le mode dégradé et le premier chargement structurellement identiques. Il n'existe donc pas de chemin de code rarement emprunté, donc rarement testé, qui ne fonctionnerait que le jour de la coupure.</w:t>
      </w:r>
    </w:p>
    <w:p>
      <w:pPr>
        <w:spacing w:before="320" w:after="100"/>
        <w:keepNext w:val="1"/>
      </w:pPr>
      <w:r>
        <w:rPr>
          <w:rFonts w:ascii="IBM Plex Mono" w:hAnsi="IBM Plex Mono" w:cs="IBM Plex Mono" w:eastAsia="IBM Plex Mono"/>
          <w:b/>
          <w:i w:val="0"/>
          <w:color w:val="C62A26"/>
          <w:sz w:val="26"/>
        </w:rPr>
        <w:t xml:space="preserve">6.5   </w:t>
      </w:r>
      <w:r>
        <w:rPr>
          <w:rFonts w:ascii="Bebas Neue" w:hAnsi="Bebas Neue" w:cs="Bebas Neue" w:eastAsia="Bebas Neue"/>
          <w:b w:val="0"/>
          <w:i w:val="0"/>
          <w:color w:val="1C1A17"/>
          <w:sz w:val="36"/>
          <w:spacing w:val="10"/>
        </w:rPr>
        <w:t>Diagramme d'activité de la déclaration de panne</w:t>
      </w:r>
    </w:p>
    <w:p>
      <w:pPr>
        <w:spacing w:before="200" w:after="80"/>
        <w:jc w:val="center"/>
      </w:pPr>
      <w:r>
        <w:drawing>
          <wp:inline xmlns:a="http://schemas.openxmlformats.org/drawingml/2006/main" xmlns:pic="http://schemas.openxmlformats.org/drawingml/2006/picture">
            <wp:extent cx="5476887" cy="7200000"/>
            <wp:docPr id="9" name="Picture 9"/>
            <wp:cNvGraphicFramePr>
              <a:graphicFrameLocks noChangeAspect="1"/>
            </wp:cNvGraphicFramePr>
            <a:graphic>
              <a:graphicData uri="http://schemas.openxmlformats.org/drawingml/2006/picture">
                <pic:pic>
                  <pic:nvPicPr>
                    <pic:cNvPr id="0" name="07-activite-sos.png"/>
                    <pic:cNvPicPr/>
                  </pic:nvPicPr>
                  <pic:blipFill>
                    <a:blip r:embed="rId17"/>
                    <a:stretch>
                      <a:fillRect/>
                    </a:stretch>
                  </pic:blipFill>
                  <pic:spPr>
                    <a:xfrm>
                      <a:off x="0" y="0"/>
                      <a:ext cx="5476887" cy="7200000"/>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8 — </w:t>
      </w:r>
      <w:r>
        <w:rPr>
          <w:rFonts w:ascii="IBM Plex Sans" w:hAnsi="IBM Plex Sans" w:cs="IBM Plex Sans" w:eastAsia="IBM Plex Sans"/>
          <w:b w:val="0"/>
          <w:i w:val="0"/>
          <w:color w:val="55514A"/>
          <w:sz w:val="18"/>
        </w:rPr>
        <w:t>Activité de déclaration de panne, réparties entre le client, l'application et le serveur</w:t>
      </w:r>
    </w:p>
    <w:p>
      <w:pPr>
        <w:spacing w:before="0" w:after="80" w:line="312" w:lineRule="auto"/>
        <w:ind w:firstLine="397"/>
        <w:jc w:val="both"/>
      </w:pPr>
      <w:r>
        <w:rPr>
          <w:rFonts w:ascii="IBM Plex Serif" w:hAnsi="IBM Plex Serif" w:cs="IBM Plex Serif" w:eastAsia="IBM Plex Serif"/>
          <w:b w:val="0"/>
          <w:i w:val="0"/>
          <w:color w:val="1C1A17"/>
          <w:sz w:val="21"/>
        </w:rPr>
        <w:t>Le diagramme fait apparaître deux points de décision dont le traitement est plus subtil qu'il n'y paraît.</w:t>
      </w:r>
    </w:p>
    <w:p>
      <w:pPr>
        <w:spacing w:before="0" w:after="80" w:line="312" w:lineRule="auto"/>
        <w:ind w:firstLine="397"/>
        <w:jc w:val="both"/>
      </w:pPr>
      <w:r>
        <w:rPr>
          <w:rFonts w:ascii="IBM Plex Serif" w:hAnsi="IBM Plex Serif" w:cs="IBM Plex Serif" w:eastAsia="IBM Plex Serif"/>
          <w:b w:val="0"/>
          <w:i w:val="0"/>
          <w:color w:val="1C1A17"/>
          <w:sz w:val="21"/>
        </w:rPr>
        <w:t>Le premier est l'échec d'acquisition de la position. L'application ne bloque pas : elle affiche un bandeau de reprise et laisse le parcours se poursuivre. C'est une règle générale du produit — une permission refusée ou un capteur indisponible sont des issues légitimes, pas des impasses.</w:t>
      </w:r>
    </w:p>
    <w:p>
      <w:pPr>
        <w:spacing w:before="0" w:after="80" w:line="312" w:lineRule="auto"/>
        <w:ind w:firstLine="397"/>
        <w:jc w:val="both"/>
      </w:pPr>
      <w:r>
        <w:rPr>
          <w:rFonts w:ascii="IBM Plex Serif" w:hAnsi="IBM Plex Serif" w:cs="IBM Plex Serif" w:eastAsia="IBM Plex Serif"/>
          <w:b w:val="0"/>
          <w:i w:val="0"/>
          <w:color w:val="1C1A17"/>
          <w:sz w:val="21"/>
        </w:rPr>
        <w:t>Le second est l'absence de résultat dans le rayon de recherche. Plutôt que de retourner une liste vide, le serveur élargit la recherche et remonte le garage le plus proche en signalant explicitement que le rayon a été élargi. Le raisonnement est de bon sens : quelqu'un en panne à qui l'on affiche une liste vide n'a rien à faire de la rigueur du rayon paramétré.</w:t>
      </w:r>
    </w:p>
    <w:p>
      <w:pPr>
        <w:spacing w:before="320" w:after="100"/>
        <w:keepNext w:val="1"/>
      </w:pPr>
      <w:r>
        <w:rPr>
          <w:rFonts w:ascii="IBM Plex Mono" w:hAnsi="IBM Plex Mono" w:cs="IBM Plex Mono" w:eastAsia="IBM Plex Mono"/>
          <w:b/>
          <w:i w:val="0"/>
          <w:color w:val="C62A26"/>
          <w:sz w:val="26"/>
        </w:rPr>
        <w:t xml:space="preserve">6.6   </w:t>
      </w:r>
      <w:r>
        <w:rPr>
          <w:rFonts w:ascii="Bebas Neue" w:hAnsi="Bebas Neue" w:cs="Bebas Neue" w:eastAsia="Bebas Neue"/>
          <w:b w:val="0"/>
          <w:i w:val="0"/>
          <w:color w:val="1C1A17"/>
          <w:sz w:val="36"/>
          <w:spacing w:val="10"/>
        </w:rPr>
        <w:t>Schéma de la base de données</w:t>
      </w:r>
    </w:p>
    <w:p>
      <w:pPr>
        <w:spacing w:before="0" w:after="80" w:line="312" w:lineRule="auto"/>
        <w:ind w:firstLine="397"/>
        <w:jc w:val="both"/>
      </w:pPr>
      <w:r>
        <w:rPr>
          <w:rFonts w:ascii="IBM Plex Serif" w:hAnsi="IBM Plex Serif" w:cs="IBM Plex Serif" w:eastAsia="IBM Plex Serif"/>
          <w:b w:val="0"/>
          <w:i w:val="0"/>
          <w:color w:val="1C1A17"/>
          <w:sz w:val="21"/>
        </w:rPr>
        <w:t>La base compte quatorze tables et neuf migrations. Le schéma est décrit ci-dessous avec ses clés, ses contraintes et ses index décisifs. La dernière table en date, le registre des commissions, est traitée à la section suivante ; elle suit la même discipline que le journal de fidélité, et pour la même raison : dès qu'il s'agit d'argent, on n'incrémente pas une colonne, on écrit une ligne.</w:t>
      </w:r>
    </w:p>
    <w:p>
      <w:pPr>
        <w:spacing w:before="200" w:after="80"/>
        <w:jc w:val="center"/>
      </w:pPr>
      <w:r>
        <w:drawing>
          <wp:inline xmlns:a="http://schemas.openxmlformats.org/drawingml/2006/main" xmlns:pic="http://schemas.openxmlformats.org/drawingml/2006/picture">
            <wp:extent cx="5904000" cy="4882154"/>
            <wp:docPr id="10" name="Picture 10"/>
            <wp:cNvGraphicFramePr>
              <a:graphicFrameLocks noChangeAspect="1"/>
            </wp:cNvGraphicFramePr>
            <a:graphic>
              <a:graphicData uri="http://schemas.openxmlformats.org/drawingml/2006/picture">
                <pic:pic>
                  <pic:nvPicPr>
                    <pic:cNvPr id="0" name="08-schema-bd.png"/>
                    <pic:cNvPicPr/>
                  </pic:nvPicPr>
                  <pic:blipFill>
                    <a:blip r:embed="rId18"/>
                    <a:stretch>
                      <a:fillRect/>
                    </a:stretch>
                  </pic:blipFill>
                  <pic:spPr>
                    <a:xfrm>
                      <a:off x="0" y="0"/>
                      <a:ext cx="5904000" cy="4882154"/>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9 — </w:t>
      </w:r>
      <w:r>
        <w:rPr>
          <w:rFonts w:ascii="IBM Plex Sans" w:hAnsi="IBM Plex Sans" w:cs="IBM Plex Sans" w:eastAsia="IBM Plex Sans"/>
          <w:b w:val="0"/>
          <w:i w:val="0"/>
          <w:color w:val="55514A"/>
          <w:sz w:val="18"/>
        </w:rPr>
        <w:t>Modèle physique de données : quatorze tables, clés, contraintes et index</w:t>
      </w:r>
    </w:p>
    <w:p>
      <w:pPr>
        <w:spacing w:before="0" w:after="80" w:line="312" w:lineRule="auto"/>
        <w:ind w:firstLine="397"/>
        <w:jc w:val="both"/>
      </w:pPr>
      <w:r>
        <w:rPr>
          <w:rFonts w:ascii="IBM Plex Serif" w:hAnsi="IBM Plex Serif" w:cs="IBM Plex Serif" w:eastAsia="IBM Plex Serif"/>
          <w:b w:val="0"/>
          <w:i w:val="0"/>
          <w:color w:val="1C1A17"/>
          <w:sz w:val="21"/>
        </w:rPr>
        <w:t>Deux partis pris traversent tout le schéma.</w:t>
      </w:r>
    </w:p>
    <w:p>
      <w:pPr>
        <w:spacing w:before="0" w:after="80" w:line="312" w:lineRule="auto"/>
        <w:ind w:firstLine="397"/>
        <w:jc w:val="both"/>
      </w:pPr>
      <w:r>
        <w:rPr>
          <w:rFonts w:ascii="IBM Plex Serif" w:hAnsi="IBM Plex Serif" w:cs="IBM Plex Serif" w:eastAsia="IBM Plex Serif"/>
          <w:b w:val="0"/>
          <w:i w:val="0"/>
          <w:color w:val="1C1A17"/>
          <w:sz w:val="21"/>
        </w:rPr>
        <w:t>Le premier est l'usage de colonnes textuelles assorties de contraintes de vérification plutôt que de types énumérés natifs. Ajouter une valeur à un type énuméré est une opération verrouillante sur PostgreSQL ; modifier une contrainte de vérification ne l'est pas. Comme la taxonomie des pannes et les niveaux d'urgence sont appelés à évoluer, le choix a été fait de privilégier la souplesse d'évolution.</w:t>
      </w:r>
    </w:p>
    <w:p>
      <w:pPr>
        <w:spacing w:before="0" w:after="80" w:line="312" w:lineRule="auto"/>
        <w:ind w:firstLine="397"/>
        <w:jc w:val="both"/>
      </w:pPr>
      <w:r>
        <w:rPr>
          <w:rFonts w:ascii="IBM Plex Serif" w:hAnsi="IBM Plex Serif" w:cs="IBM Plex Serif" w:eastAsia="IBM Plex Serif"/>
          <w:b w:val="0"/>
          <w:i w:val="0"/>
          <w:color w:val="1C1A17"/>
          <w:sz w:val="21"/>
        </w:rPr>
        <w:t>Le second est l'usage du type géographique plutôt que géométrique pour toutes les positions. Le type géographique rend directement des mètres en tenant compte de la courbure terrestre, sans conversion manuelle et sans choix de projection à justifier. Sur un produit dont la fonction centrale est une distance en mètres, c'est le type qui dit la vérité par défaut.</w:t>
      </w:r>
    </w:p>
    <w:p>
      <w:pPr>
        <w:spacing w:before="240" w:after="100"/>
        <w:keepNext w:val="1"/>
      </w:pPr>
      <w:r>
        <w:rPr>
          <w:rFonts w:ascii="IBM Plex Mono" w:hAnsi="IBM Plex Mono" w:cs="IBM Plex Mono" w:eastAsia="IBM Plex Mono"/>
          <w:b/>
          <w:i w:val="0"/>
          <w:color w:val="C62A26"/>
          <w:sz w:val="19"/>
        </w:rPr>
        <w:t xml:space="preserve">6.6.1   </w:t>
      </w:r>
      <w:r>
        <w:rPr>
          <w:rFonts w:ascii="Bebas Neue" w:hAnsi="Bebas Neue" w:cs="Bebas Neue" w:eastAsia="Bebas Neue"/>
          <w:b w:val="0"/>
          <w:i w:val="0"/>
          <w:color w:val="1C1A17"/>
          <w:sz w:val="29"/>
          <w:spacing w:val="10"/>
        </w:rPr>
        <w:t>Les règles métier inscrites comme contraintes</w:t>
      </w:r>
    </w:p>
    <w:p>
      <w:pPr>
        <w:spacing w:before="0" w:after="80" w:line="312" w:lineRule="auto"/>
        <w:ind w:firstLine="397"/>
        <w:jc w:val="both"/>
      </w:pPr>
      <w:r>
        <w:rPr>
          <w:rFonts w:ascii="IBM Plex Serif" w:hAnsi="IBM Plex Serif" w:cs="IBM Plex Serif" w:eastAsia="IBM Plex Serif"/>
          <w:b w:val="0"/>
          <w:i w:val="0"/>
          <w:color w:val="1C1A17"/>
          <w:sz w:val="21"/>
        </w:rPr>
        <w:t>Cinq contraintes portent des règles métier que l'on aurait pu écrire dans le code applicatif. Elles sont listées ici avec ce que chacune garantit.</w:t>
      </w:r>
    </w:p>
    <w:p>
      <w:pPr>
        <w:spacing w:before="200" w:after="80"/>
        <w:keepNext w:val="1"/>
      </w:pPr>
      <w:r>
        <w:rPr>
          <w:rFonts w:ascii="IBM Plex Sans" w:hAnsi="IBM Plex Sans" w:cs="IBM Plex Sans" w:eastAsia="IBM Plex Sans"/>
          <w:b/>
          <w:i w:val="0"/>
          <w:color w:val="C62A26"/>
          <w:sz w:val="18"/>
        </w:rPr>
        <w:t xml:space="preserve">Tableau 21 — </w:t>
      </w:r>
      <w:r>
        <w:rPr>
          <w:rFonts w:ascii="IBM Plex Sans" w:hAnsi="IBM Plex Sans" w:cs="IBM Plex Sans" w:eastAsia="IBM Plex Sans"/>
          <w:b w:val="0"/>
          <w:i w:val="0"/>
          <w:color w:val="55514A"/>
          <w:sz w:val="18"/>
        </w:rPr>
        <w:t>Contraintes de base de données portant des règles métier</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Contrainte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Ce qu'elle garantit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closed_requires_both_arrivals</w:t>
            </w:r>
          </w:p>
        </w:tc>
        <w:tc>
          <w:tcPr>
            <w:tcW w:type="dxa" w:w="4649"/>
          </w:tcPr>
          <w:p>
            <w:pPr>
              <w:spacing w:before="60" w:after="60" w:line="269" w:lineRule="auto"/>
            </w:pPr>
            <w:r/>
            <w:r>
              <w:rPr>
                <w:rFonts w:ascii="IBM Plex Serif" w:hAnsi="IBM Plex Serif" w:cs="IBM Plex Serif" w:eastAsia="IBM Plex Serif"/>
                <w:b w:val="0"/>
                <w:i w:val="0"/>
                <w:color w:val="1C1A17"/>
                <w:sz w:val="18"/>
              </w:rPr>
              <w:t>Une demande ne peut pas être clôturée sans les deux confirmations d'arrivée, donc aucun point ne peut être crédité sans elles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reviews.request_id UNIQUE</w:t>
            </w:r>
          </w:p>
        </w:tc>
        <w:tc>
          <w:tcPr>
            <w:tcW w:type="dxa" w:w="4649"/>
          </w:tcPr>
          <w:p>
            <w:pPr>
              <w:spacing w:before="60" w:after="60" w:line="269" w:lineRule="auto"/>
            </w:pPr>
            <w:r/>
            <w:r>
              <w:rPr>
                <w:rFonts w:ascii="IBM Plex Serif" w:hAnsi="IBM Plex Serif" w:cs="IBM Plex Serif" w:eastAsia="IBM Plex Serif"/>
                <w:b w:val="0"/>
                <w:i w:val="0"/>
                <w:color w:val="1C1A17"/>
                <w:sz w:val="18"/>
              </w:rPr>
              <w:t>Un avis suppose une intervention réellement clôturée, et un client qui revient trois fois note trois fois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loyalty_ledger.idempotency_key UNIQUE</w:t>
            </w:r>
          </w:p>
        </w:tc>
        <w:tc>
          <w:tcPr>
            <w:tcW w:type="dxa" w:w="4649"/>
          </w:tcPr>
          <w:p>
            <w:pPr>
              <w:spacing w:before="60" w:after="60" w:line="269" w:lineRule="auto"/>
            </w:pPr>
            <w:r/>
            <w:r>
              <w:rPr>
                <w:rFonts w:ascii="IBM Plex Serif" w:hAnsi="IBM Plex Serif" w:cs="IBM Plex Serif" w:eastAsia="IBM Plex Serif"/>
                <w:b w:val="0"/>
                <w:i w:val="0"/>
                <w:color w:val="1C1A17"/>
                <w:sz w:val="18"/>
              </w:rPr>
              <w:t>Une requête rejouée ne peut jamais créditer deux fois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vehicles_single_default_idx</w:t>
            </w:r>
          </w:p>
        </w:tc>
        <w:tc>
          <w:tcPr>
            <w:tcW w:type="dxa" w:w="4649"/>
          </w:tcPr>
          <w:p>
            <w:pPr>
              <w:spacing w:before="60" w:after="60" w:line="269" w:lineRule="auto"/>
            </w:pPr>
            <w:r/>
            <w:r>
              <w:rPr>
                <w:rFonts w:ascii="IBM Plex Serif" w:hAnsi="IBM Plex Serif" w:cs="IBM Plex Serif" w:eastAsia="IBM Plex Serif"/>
                <w:b w:val="0"/>
                <w:i w:val="0"/>
                <w:color w:val="1C1A17"/>
                <w:sz w:val="18"/>
              </w:rPr>
              <w:t>Un seul véhicule par défaut par utilisateur, y compris en écriture concurrente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requests_one_active_per_client_idx</w:t>
            </w:r>
          </w:p>
        </w:tc>
        <w:tc>
          <w:tcPr>
            <w:tcW w:type="dxa" w:w="4649"/>
          </w:tcPr>
          <w:p>
            <w:pPr>
              <w:spacing w:before="60" w:after="60" w:line="269" w:lineRule="auto"/>
            </w:pPr>
            <w:r/>
            <w:r>
              <w:rPr>
                <w:rFonts w:ascii="IBM Plex Serif" w:hAnsi="IBM Plex Serif" w:cs="IBM Plex Serif" w:eastAsia="IBM Plex Serif"/>
                <w:b w:val="0"/>
                <w:i w:val="0"/>
                <w:color w:val="1C1A17"/>
                <w:sz w:val="18"/>
              </w:rPr>
              <w:t>Un client ne peut pas ouvrir dix demandes d'assistance en parallèle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garages_owner_idx</w:t>
            </w:r>
          </w:p>
        </w:tc>
        <w:tc>
          <w:tcPr>
            <w:tcW w:type="dxa" w:w="4649"/>
          </w:tcPr>
          <w:p>
            <w:pPr>
              <w:spacing w:before="60" w:after="60" w:line="269" w:lineRule="auto"/>
            </w:pPr>
            <w:r/>
            <w:r>
              <w:rPr>
                <w:rFonts w:ascii="IBM Plex Serif" w:hAnsi="IBM Plex Serif" w:cs="IBM Plex Serif" w:eastAsia="IBM Plex Serif"/>
                <w:b w:val="0"/>
                <w:i w:val="0"/>
                <w:color w:val="1C1A17"/>
                <w:sz w:val="18"/>
              </w:rPr>
              <w:t>Un compte ne peut détenir qu'un seul garage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active_requires_verification</w:t>
            </w:r>
          </w:p>
        </w:tc>
        <w:tc>
          <w:tcPr>
            <w:tcW w:type="dxa" w:w="4649"/>
          </w:tcPr>
          <w:p>
            <w:pPr>
              <w:spacing w:before="60" w:after="60" w:line="269" w:lineRule="auto"/>
            </w:pPr>
            <w:r/>
            <w:r>
              <w:rPr>
                <w:rFonts w:ascii="IBM Plex Serif" w:hAnsi="IBM Plex Serif" w:cs="IBM Plex Serif" w:eastAsia="IBM Plex Serif"/>
                <w:b w:val="0"/>
                <w:i w:val="0"/>
                <w:color w:val="1C1A17"/>
                <w:sz w:val="18"/>
              </w:rPr>
              <w:t>Un garage non vérifié ne peut pas être actif, donc ne peut pas apparaître dans les résultats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vehicle_other_requires_label</w:t>
            </w:r>
          </w:p>
        </w:tc>
        <w:tc>
          <w:tcPr>
            <w:tcW w:type="dxa" w:w="4649"/>
          </w:tcPr>
          <w:p>
            <w:pPr>
              <w:spacing w:before="60" w:after="60" w:line="269" w:lineRule="auto"/>
            </w:pPr>
            <w:r/>
            <w:r>
              <w:rPr>
                <w:rFonts w:ascii="IBM Plex Serif" w:hAnsi="IBM Plex Serif" w:cs="IBM Plex Serif" w:eastAsia="IBM Plex Serif"/>
                <w:b w:val="0"/>
                <w:i w:val="0"/>
                <w:color w:val="1C1A17"/>
                <w:sz w:val="18"/>
              </w:rPr>
              <w:t>Un véhicule de catégorie ouverte exige un libellé exploitable par le garagiste</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Deux de ces contraintes méritent un développement.</w:t>
      </w:r>
    </w:p>
    <w:p>
      <w:pPr>
        <w:spacing w:before="0" w:after="80" w:line="312" w:lineRule="auto"/>
        <w:ind w:firstLine="397"/>
        <w:jc w:val="both"/>
      </w:pPr>
      <w:r>
        <w:rPr>
          <w:rFonts w:ascii="IBM Plex Serif" w:hAnsi="IBM Plex Serif" w:cs="IBM Plex Serif" w:eastAsia="IBM Plex Serif"/>
          <w:b w:val="0"/>
          <w:i w:val="0"/>
          <w:color w:val="1C1A17"/>
          <w:sz w:val="21"/>
        </w:rPr>
        <w:t>L'unicité du garage par propriétaire répond à une situation concrète. L'inscription en tant que garagiste crée un garage et promeut le compte. Le service vérifie déjà qu'il n'en existe pas d'autre, mais deux envois du formulaire à une seconde d'intervalle — réseau lent, l'utilisateur appuie deux fois — passeraient tous deux la vérification avant qu'aucun n'ait inséré. On obtiendrait deux garages au même endroit, dont un fantôme que son propriétaire ne verrait jamais dans son espace mais qui remonterait dans les résultats de recherche. L'index d'unicité rend cette situation impossible.</w:t>
      </w:r>
    </w:p>
    <w:p>
      <w:pPr>
        <w:spacing w:before="0" w:after="80" w:line="312" w:lineRule="auto"/>
        <w:ind w:firstLine="397"/>
        <w:jc w:val="both"/>
      </w:pPr>
      <w:r>
        <w:rPr>
          <w:rFonts w:ascii="IBM Plex Serif" w:hAnsi="IBM Plex Serif" w:cs="IBM Plex Serif" w:eastAsia="IBM Plex Serif"/>
          <w:b w:val="0"/>
          <w:i w:val="0"/>
          <w:color w:val="1C1A17"/>
          <w:sz w:val="21"/>
        </w:rPr>
        <w:t>La liaison entre activité et vérification répond à un risque de sécurité. Tant que les garages entraient exclusivement par un jeu de données constitué à la main, ils étaient vérifiés par construction. L'inscription depuis l'application ouvre la porte à des dossiers déclarés par leur propre auteur, et un garage inventé qui remonte dans une recherche envoie quelqu'un en panne vers une adresse qui n'existe pas. La contrainte garantit qu'aucun chemin de code, y compris une future route de modification mal gardée, ne peut faire entrer un dossier en attente dans les résultats.</w:t>
      </w:r>
    </w:p>
    <w:p>
      <w:pPr>
        <w:spacing w:before="240" w:after="100"/>
        <w:keepNext w:val="1"/>
      </w:pPr>
      <w:r>
        <w:rPr>
          <w:rFonts w:ascii="IBM Plex Mono" w:hAnsi="IBM Plex Mono" w:cs="IBM Plex Mono" w:eastAsia="IBM Plex Mono"/>
          <w:b/>
          <w:i w:val="0"/>
          <w:color w:val="C62A26"/>
          <w:sz w:val="19"/>
        </w:rPr>
        <w:t xml:space="preserve">6.6.2   </w:t>
      </w:r>
      <w:r>
        <w:rPr>
          <w:rFonts w:ascii="Bebas Neue" w:hAnsi="Bebas Neue" w:cs="Bebas Neue" w:eastAsia="Bebas Neue"/>
          <w:b w:val="0"/>
          <w:i w:val="0"/>
          <w:color w:val="1C1A17"/>
          <w:sz w:val="29"/>
          <w:spacing w:val="10"/>
        </w:rPr>
        <w:t>La requête de pertinence</w:t>
      </w:r>
    </w:p>
    <w:p>
      <w:pPr>
        <w:spacing w:before="0" w:after="80" w:line="312" w:lineRule="auto"/>
        <w:ind w:firstLine="397"/>
        <w:jc w:val="both"/>
      </w:pPr>
      <w:r>
        <w:rPr>
          <w:rFonts w:ascii="IBM Plex Serif" w:hAnsi="IBM Plex Serif" w:cs="IBM Plex Serif" w:eastAsia="IBM Plex Serif"/>
          <w:b w:val="0"/>
          <w:i w:val="0"/>
          <w:color w:val="1C1A17"/>
          <w:sz w:val="21"/>
        </w:rPr>
        <w:t>La recherche des garages à proximité est la requête centrale du produit. Elle est appelée à chaque ouverture de la carte et à chaque changement de tri. Deux invariants la gouvernent.</w:t>
      </w:r>
    </w:p>
    <w:p>
      <w:pPr>
        <w:spacing w:before="0" w:after="80" w:line="312" w:lineRule="auto"/>
        <w:ind w:firstLine="397"/>
        <w:jc w:val="both"/>
      </w:pPr>
      <w:r>
        <w:rPr>
          <w:rFonts w:ascii="IBM Plex Serif" w:hAnsi="IBM Plex Serif" w:cs="IBM Plex Serif" w:eastAsia="IBM Plex Serif"/>
          <w:b w:val="0"/>
          <w:i w:val="0"/>
          <w:color w:val="1C1A17"/>
          <w:sz w:val="21"/>
        </w:rPr>
        <w:t>Le premier est que le filtre de distance s'applique avant le tri. C'est ce qui fait consommer l'index géospatial. Un tri par distance sans filtre préalable produit un résultat correct mais parcourt la table entière — ce qui ne se voit pas tant que la base est petite, et s'effondre passé quelques milliers de garages. Un test automatisé vérifie le plan d'exécution pour cette raison précise.</w:t>
      </w:r>
    </w:p>
    <w:p>
      <w:pPr>
        <w:spacing w:before="0" w:after="80" w:line="312" w:lineRule="auto"/>
        <w:ind w:firstLine="397"/>
        <w:jc w:val="both"/>
      </w:pPr>
      <w:r>
        <w:rPr>
          <w:rFonts w:ascii="IBM Plex Serif" w:hAnsi="IBM Plex Serif" w:cs="IBM Plex Serif" w:eastAsia="IBM Plex Serif"/>
          <w:b w:val="0"/>
          <w:i w:val="0"/>
          <w:color w:val="1C1A17"/>
          <w:sz w:val="21"/>
        </w:rPr>
        <w:t>Le second est que le rang est calculé en SQL, par une fonction de fenêtrage, et transporté tel quel jusqu'à l'interface.</w:t>
      </w:r>
    </w:p>
    <w:p>
      <w:pPr>
        <w:spacing w:before="180" w:after="60"/>
        <w:keepNext w:val="1"/>
      </w:pPr>
      <w:r>
        <w:rPr>
          <w:rFonts w:ascii="IBM Plex Sans" w:hAnsi="IBM Plex Sans" w:cs="IBM Plex Sans" w:eastAsia="IBM Plex Sans"/>
          <w:b w:val="0"/>
          <w:i/>
          <w:color w:val="8A8578"/>
          <w:sz w:val="18"/>
        </w:rPr>
        <w:t>Expression de rang : un seul plan couvre les trois tris</w:t>
      </w:r>
    </w:p>
    <w:p>
      <w:pPr>
        <w:spacing w:before="80" w:after="0" w:line="269" w:lineRule="auto"/>
        <w:ind w:left="283"/>
        <w:shd w:val="clear" w:color="auto" w:fill="F6F4EF"/>
      </w:pPr>
      <w:r>
        <w:rPr>
          <w:rFonts w:ascii="IBM Plex Mono" w:hAnsi="IBM Plex Mono" w:cs="IBM Plex Mono" w:eastAsia="IBM Plex Mono"/>
          <w:b w:val="0"/>
          <w:i w:val="0"/>
          <w:color w:val="1C1A17"/>
          <w:sz w:val="17"/>
        </w:rPr>
        <w:t>ROW_NUMBER() OVER (ORDER BY</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CASE WHEN $sort = 'certified' THEN NOT certified END ASC,</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CASE WHEN $sort = 'rating'    THEN score_note     END DESC,</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distance_m ASC,</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id ASC</w:t>
      </w:r>
    </w:p>
    <w:p>
      <w:pPr>
        <w:spacing w:before="0" w:after="80" w:line="269" w:lineRule="auto"/>
        <w:ind w:left="283"/>
        <w:shd w:val="clear" w:color="auto" w:fill="F6F4EF"/>
      </w:pPr>
      <w:r>
        <w:rPr>
          <w:rFonts w:ascii="IBM Plex Mono" w:hAnsi="IBM Plex Mono" w:cs="IBM Plex Mono" w:eastAsia="IBM Plex Mono"/>
          <w:b w:val="0"/>
          <w:i w:val="0"/>
          <w:color w:val="1C1A17"/>
          <w:sz w:val="17"/>
        </w:rPr>
        <w:t>)</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La construction repose sur une propriété du langage : dans une branche inactive, l'expression conditionnelle vaut la valeur nulle pour toutes les lignes. Elle ne discrimine donc rien, et le tri retombe sur la clé suivante. Un seul plan de requête couvre ainsi les trois tris, sans qu'il soit nécessaire de concaténer du SQL — donc sans surface d'injection.</w:t>
      </w:r>
    </w:p>
    <w:p>
      <w:pPr>
        <w:spacing w:before="0" w:after="80" w:line="312" w:lineRule="auto"/>
        <w:ind w:firstLine="397"/>
        <w:jc w:val="both"/>
      </w:pPr>
      <w:r>
        <w:rPr>
          <w:rFonts w:ascii="IBM Plex Serif" w:hAnsi="IBM Plex Serif" w:cs="IBM Plex Serif" w:eastAsia="IBM Plex Serif"/>
          <w:b w:val="0"/>
          <w:i w:val="0"/>
          <w:color w:val="1C1A17"/>
          <w:sz w:val="21"/>
        </w:rPr>
        <w:t>La note utilisée pour le tri par qualité n'est pas une moyenne mais une note bayésienne. Une moyenne simple laisserait un garage noté cinq sur deux avis complaisants devancer un garage noté quatre virgule six sur cent vingt-huit avis, ce qui est exactement ce qu'un tri « mieux noté » ne doit pas faire.</w:t>
      </w:r>
    </w:p>
    <w:p>
      <w:pPr>
        <w:spacing w:before="180" w:after="60"/>
        <w:keepNext w:val="1"/>
      </w:pPr>
      <w:r>
        <w:rPr>
          <w:rFonts w:ascii="IBM Plex Sans" w:hAnsi="IBM Plex Sans" w:cs="IBM Plex Sans" w:eastAsia="IBM Plex Sans"/>
          <w:b w:val="0"/>
          <w:i/>
          <w:color w:val="8A8578"/>
          <w:sz w:val="18"/>
        </w:rPr>
        <w:t>Pondération bayésienne de la note d'un garage</w:t>
      </w:r>
    </w:p>
    <w:p>
      <w:pPr>
        <w:spacing w:before="80" w:after="0" w:line="269" w:lineRule="auto"/>
        <w:ind w:left="283"/>
        <w:shd w:val="clear" w:color="auto" w:fill="F6F4EF"/>
      </w:pPr>
      <w:r>
        <w:rPr>
          <w:rFonts w:ascii="IBM Plex Mono" w:hAnsi="IBM Plex Mono" w:cs="IBM Plex Mono" w:eastAsia="IBM Plex Mono"/>
          <w:b w:val="0"/>
          <w:i w:val="0"/>
          <w:color w:val="1C1A17"/>
          <w:sz w:val="17"/>
        </w:rPr>
        <w:t>score_note = (n / (n + 20)) × note  +  (20 / (n + 20)) × 3,8</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où n est le nombre d'avis, 20 le seuil à partir duquel la note pèse</w:t>
      </w:r>
    </w:p>
    <w:p>
      <w:pPr>
        <w:spacing w:before="0" w:after="80" w:line="269" w:lineRule="auto"/>
        <w:ind w:left="283"/>
        <w:shd w:val="clear" w:color="auto" w:fill="F6F4EF"/>
      </w:pPr>
      <w:r>
        <w:rPr>
          <w:rFonts w:ascii="IBM Plex Mono" w:hAnsi="IBM Plex Mono" w:cs="IBM Plex Mono" w:eastAsia="IBM Plex Mono"/>
          <w:b w:val="0"/>
          <w:i w:val="0"/>
          <w:color w:val="1C1A17"/>
          <w:sz w:val="17"/>
        </w:rPr>
        <w:t>pleinement, et 3,8 la note moyenne de référence.</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Enfin, le filtre par service utilise deux opérateurs différents selon le contexte. La recherche libre exige que le garage offre tous les services demandés ; la recherche déclenchée par un appel d'urgence se contente d'un service au moins. Les deux consomment le même index, la bascule ne coûte donc rien en performance, mais elle change complètement le sens — et c'est bien le second sens dont l'appel d'urgence a besoin, puisque la taxonomie lui fournit des compétences alternatives et non une liste d'exigences.</w:t>
      </w:r>
    </w:p>
    <w:p>
      <w:pPr>
        <w:spacing w:before="320" w:after="100"/>
        <w:keepNext w:val="1"/>
      </w:pPr>
      <w:r>
        <w:rPr>
          <w:rFonts w:ascii="IBM Plex Mono" w:hAnsi="IBM Plex Mono" w:cs="IBM Plex Mono" w:eastAsia="IBM Plex Mono"/>
          <w:b/>
          <w:i w:val="0"/>
          <w:color w:val="C62A26"/>
          <w:sz w:val="26"/>
        </w:rPr>
        <w:t xml:space="preserve">6.7   </w:t>
      </w:r>
      <w:r>
        <w:rPr>
          <w:rFonts w:ascii="Bebas Neue" w:hAnsi="Bebas Neue" w:cs="Bebas Neue" w:eastAsia="Bebas Neue"/>
          <w:b w:val="0"/>
          <w:i w:val="0"/>
          <w:color w:val="1C1A17"/>
          <w:sz w:val="36"/>
          <w:spacing w:val="10"/>
        </w:rPr>
        <w:t>La preuve d'arrivée et le registre des commissions</w:t>
      </w:r>
    </w:p>
    <w:p>
      <w:pPr>
        <w:spacing w:before="0" w:after="80" w:line="312" w:lineRule="auto"/>
        <w:ind w:firstLine="397"/>
        <w:jc w:val="both"/>
      </w:pPr>
      <w:r>
        <w:rPr>
          <w:rFonts w:ascii="IBM Plex Serif" w:hAnsi="IBM Plex Serif" w:cs="IBM Plex Serif" w:eastAsia="IBM Plex Serif"/>
          <w:b w:val="0"/>
          <w:i w:val="0"/>
          <w:color w:val="1C1A17"/>
          <w:sz w:val="21"/>
        </w:rPr>
        <w:t>Le produit se rémunère en apportant des clients aux garages. Facturer suppose donc de pouvoir affirmer qu'un client a bien été apporté, et cette affirmation ne peut pas reposer sur un bouton que le débiteur appuierait lui-même. Elle repose sur la trace de celui qui s'est déplacé.</w:t>
      </w:r>
    </w:p>
    <w:p>
      <w:pPr>
        <w:spacing w:before="0" w:after="80" w:line="312" w:lineRule="auto"/>
        <w:ind w:firstLine="397"/>
        <w:jc w:val="both"/>
      </w:pPr>
      <w:r>
        <w:rPr>
          <w:rFonts w:ascii="IBM Plex Serif" w:hAnsi="IBM Plex Serif" w:cs="IBM Plex Serif" w:eastAsia="IBM Plex Serif"/>
          <w:b w:val="0"/>
          <w:i w:val="0"/>
          <w:color w:val="1C1A17"/>
          <w:sz w:val="21"/>
        </w:rPr>
        <w:t>La fonction qui rend ce jugement lit trois signaux, dans cet ordre. D'abord la sédentarisation : le dernier point de la fenêtre se trouve-t-il à moins de cent cinquante mètres de la destination ? Ensuite la longueur : le trajet a-t-il une distance réelle ? Enfin la durée : la demande a-t-elle vécu assez longtemps après l'arrivée ?</w:t>
      </w:r>
    </w:p>
    <w:p>
      <w:pPr>
        <w:spacing w:before="0" w:after="80" w:line="312" w:lineRule="auto"/>
        <w:ind w:firstLine="397"/>
        <w:jc w:val="both"/>
      </w:pPr>
      <w:r>
        <w:rPr>
          <w:rFonts w:ascii="IBM Plex Serif" w:hAnsi="IBM Plex Serif" w:cs="IBM Plex Serif" w:eastAsia="IBM Plex Serif"/>
          <w:b w:val="0"/>
          <w:i w:val="0"/>
          <w:color w:val="1C1A17"/>
          <w:sz w:val="21"/>
        </w:rPr>
        <w:t xml:space="preserve">Le premier signal mérite un commentaire, parce qu'il tire parti d'une contrainte qui semblait être un défaut. Pour ne pas dévorer un forfait de données, le téléphone n'émet un point qu'au-delà de quinze mètres parcourus ; un véhicule à l'arrêt cesse donc complètement d'émettre. C'est en réalité le signal le plus fiable dont on dispose : une trace qui </w:t>
      </w:r>
      <w:r>
        <w:rPr>
          <w:rFonts w:ascii="IBM Plex Serif" w:hAnsi="IBM Plex Serif" w:cs="IBM Plex Serif" w:eastAsia="IBM Plex Serif"/>
          <w:b/>
          <w:i w:val="0"/>
          <w:color w:val="1C1A17"/>
          <w:sz w:val="21"/>
        </w:rPr>
        <w:t>s'arrête</w:t>
      </w:r>
      <w:r>
        <w:rPr>
          <w:rFonts w:ascii="IBM Plex Serif" w:hAnsi="IBM Plex Serif" w:cs="IBM Plex Serif" w:eastAsia="IBM Plex Serif"/>
          <w:b w:val="0"/>
          <w:i w:val="0"/>
          <w:color w:val="1C1A17"/>
          <w:sz w:val="21"/>
        </w:rPr>
        <w:t xml:space="preserve"> au lieu de s'éloigner est exactement la signature d'une arrivée, là où un simple passage devant laisse des points qui continuent.</w:t>
      </w:r>
    </w:p>
    <w:p>
      <w:pPr>
        <w:spacing w:before="200" w:after="80"/>
        <w:keepNext w:val="1"/>
      </w:pPr>
      <w:r>
        <w:rPr>
          <w:rFonts w:ascii="IBM Plex Sans" w:hAnsi="IBM Plex Sans" w:cs="IBM Plex Sans" w:eastAsia="IBM Plex Sans"/>
          <w:b/>
          <w:i w:val="0"/>
          <w:color w:val="C62A26"/>
          <w:sz w:val="18"/>
        </w:rPr>
        <w:t xml:space="preserve">Tableau 22 — </w:t>
      </w:r>
      <w:r>
        <w:rPr>
          <w:rFonts w:ascii="IBM Plex Sans" w:hAnsi="IBM Plex Sans" w:cs="IBM Plex Sans" w:eastAsia="IBM Plex Sans"/>
          <w:b w:val="0"/>
          <w:i w:val="0"/>
          <w:color w:val="55514A"/>
          <w:sz w:val="18"/>
        </w:rPr>
        <w:t>Les quatre niveaux de preuve d'arrivée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Niveau</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Ce qu'il établit</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Facturable</w:t>
            </w:r>
          </w:p>
        </w:tc>
      </w:tr>
      <w:tr>
        <w:tc>
          <w:tcPr>
            <w:tcW w:type="dxa" w:w="3099"/>
          </w:tcPr>
          <w:p>
            <w:pPr>
              <w:spacing w:before="60" w:after="60" w:line="269" w:lineRule="auto"/>
            </w:pPr>
            <w:r/>
            <w:r>
              <w:rPr>
                <w:rFonts w:ascii="IBM Plex Mono" w:hAnsi="IBM Plex Mono" w:cs="IBM Plex Mono" w:eastAsia="IBM Plex Mono"/>
                <w:b w:val="0"/>
                <w:i w:val="0"/>
                <w:color w:val="55514A"/>
                <w:sz w:val="16"/>
              </w:rPr>
              <w:t>none</w:t>
            </w:r>
          </w:p>
        </w:tc>
        <w:tc>
          <w:tcPr>
            <w:tcW w:type="dxa" w:w="3099"/>
          </w:tcPr>
          <w:p>
            <w:pPr>
              <w:spacing w:before="60" w:after="60" w:line="269" w:lineRule="auto"/>
            </w:pPr>
            <w:r/>
            <w:r>
              <w:rPr>
                <w:rFonts w:ascii="IBM Plex Serif" w:hAnsi="IBM Plex Serif" w:cs="IBM Plex Serif" w:eastAsia="IBM Plex Serif"/>
                <w:b w:val="0"/>
                <w:i w:val="0"/>
                <w:color w:val="1C1A17"/>
                <w:sz w:val="18"/>
              </w:rPr>
              <w:t>Aucune trace n'établit un déplacement</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r>
        <w:tc>
          <w:tcPr>
            <w:tcW w:type="dxa" w:w="3099"/>
          </w:tcPr>
          <w:p>
            <w:pPr>
              <w:spacing w:before="60" w:after="60" w:line="269" w:lineRule="auto"/>
            </w:pPr>
            <w:r/>
            <w:r>
              <w:rPr>
                <w:rFonts w:ascii="IBM Plex Mono" w:hAnsi="IBM Plex Mono" w:cs="IBM Plex Mono" w:eastAsia="IBM Plex Mono"/>
                <w:b w:val="0"/>
                <w:i w:val="0"/>
                <w:color w:val="55514A"/>
                <w:sz w:val="16"/>
              </w:rPr>
              <w:t>weak</w:t>
            </w:r>
          </w:p>
        </w:tc>
        <w:tc>
          <w:tcPr>
            <w:tcW w:type="dxa" w:w="3099"/>
          </w:tcPr>
          <w:p>
            <w:pPr>
              <w:spacing w:before="60" w:after="60" w:line="269" w:lineRule="auto"/>
            </w:pPr>
            <w:r/>
            <w:r>
              <w:rPr>
                <w:rFonts w:ascii="IBM Plex Serif" w:hAnsi="IBM Plex Serif" w:cs="IBM Plex Serif" w:eastAsia="IBM Plex Serif"/>
                <w:b w:val="0"/>
                <w:i w:val="0"/>
                <w:color w:val="1C1A17"/>
                <w:sz w:val="18"/>
              </w:rPr>
              <w:t>Trajet trop court, ou intervention trop brève</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r>
        <w:tc>
          <w:tcPr>
            <w:tcW w:type="dxa" w:w="3099"/>
          </w:tcPr>
          <w:p>
            <w:pPr>
              <w:spacing w:before="60" w:after="60" w:line="269" w:lineRule="auto"/>
            </w:pPr>
            <w:r/>
            <w:r>
              <w:rPr>
                <w:rFonts w:ascii="IBM Plex Mono" w:hAnsi="IBM Plex Mono" w:cs="IBM Plex Mono" w:eastAsia="IBM Plex Mono"/>
                <w:b w:val="0"/>
                <w:i w:val="0"/>
                <w:color w:val="55514A"/>
                <w:sz w:val="16"/>
              </w:rPr>
              <w:t>trail</w:t>
            </w:r>
          </w:p>
        </w:tc>
        <w:tc>
          <w:tcPr>
            <w:tcW w:type="dxa" w:w="3099"/>
          </w:tcPr>
          <w:p>
            <w:pPr>
              <w:spacing w:before="60" w:after="60" w:line="269" w:lineRule="auto"/>
            </w:pPr>
            <w:r/>
            <w:r>
              <w:rPr>
                <w:rFonts w:ascii="IBM Plex Serif" w:hAnsi="IBM Plex Serif" w:cs="IBM Plex Serif" w:eastAsia="IBM Plex Serif"/>
                <w:b w:val="0"/>
                <w:i w:val="0"/>
                <w:color w:val="1C1A17"/>
                <w:sz w:val="18"/>
              </w:rPr>
              <w:t>La trace établit le déplacement</w:t>
            </w:r>
          </w:p>
        </w:tc>
        <w:tc>
          <w:tcPr>
            <w:tcW w:type="dxa" w:w="3099"/>
          </w:tcPr>
          <w:p>
            <w:pPr>
              <w:spacing w:before="60" w:after="60" w:line="269" w:lineRule="auto"/>
            </w:pPr>
            <w:r/>
            <w:r>
              <w:rPr>
                <w:rFonts w:ascii="IBM Plex Serif" w:hAnsi="IBM Plex Serif" w:cs="IBM Plex Serif" w:eastAsia="IBM Plex Serif"/>
                <w:b w:val="0"/>
                <w:i w:val="0"/>
                <w:color w:val="1C1A17"/>
                <w:sz w:val="18"/>
              </w:rPr>
              <w:t>Oui</w:t>
            </w:r>
          </w:p>
        </w:tc>
      </w:tr>
      <w:tr>
        <w:tc>
          <w:tcPr>
            <w:tcW w:type="dxa" w:w="3099"/>
          </w:tcPr>
          <w:p>
            <w:pPr>
              <w:spacing w:before="60" w:after="60" w:line="269" w:lineRule="auto"/>
            </w:pPr>
            <w:r/>
            <w:r>
              <w:rPr>
                <w:rFonts w:ascii="IBM Plex Mono" w:hAnsi="IBM Plex Mono" w:cs="IBM Plex Mono" w:eastAsia="IBM Plex Mono"/>
                <w:b w:val="0"/>
                <w:i w:val="0"/>
                <w:color w:val="55514A"/>
                <w:sz w:val="16"/>
              </w:rPr>
              <w:t>mutual</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La trace l'établit </w:t>
            </w:r>
            <w:r>
              <w:rPr>
                <w:rFonts w:ascii="IBM Plex Serif" w:hAnsi="IBM Plex Serif" w:cs="IBM Plex Serif" w:eastAsia="IBM Plex Serif"/>
                <w:b/>
                <w:i w:val="0"/>
                <w:color w:val="1C1A17"/>
                <w:sz w:val="18"/>
              </w:rPr>
              <w:t>et</w:t>
            </w:r>
            <w:r>
              <w:rPr>
                <w:rFonts w:ascii="IBM Plex Serif" w:hAnsi="IBM Plex Serif" w:cs="IBM Plex Serif" w:eastAsia="IBM Plex Serif"/>
                <w:b w:val="0"/>
                <w:i w:val="0"/>
                <w:color w:val="1C1A17"/>
                <w:sz w:val="18"/>
              </w:rPr>
              <w:t xml:space="preserve"> les deux parties en conviennent</w:t>
            </w:r>
          </w:p>
        </w:tc>
        <w:tc>
          <w:tcPr>
            <w:tcW w:type="dxa" w:w="3099"/>
          </w:tcPr>
          <w:p>
            <w:pPr>
              <w:spacing w:before="60" w:after="60" w:line="269" w:lineRule="auto"/>
            </w:pPr>
            <w:r/>
            <w:r>
              <w:rPr>
                <w:rFonts w:ascii="IBM Plex Serif" w:hAnsi="IBM Plex Serif" w:cs="IBM Plex Serif" w:eastAsia="IBM Plex Serif"/>
                <w:b w:val="0"/>
                <w:i w:val="0"/>
                <w:color w:val="1C1A17"/>
                <w:sz w:val="18"/>
              </w:rPr>
              <w:t>Oui</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Les seuils sont identiques dans les deux modes de service, et c'est délibéré : un client qui habite en face de l'atelier n'a pas davantage « été apporté » qu'un garagiste qui traverse la rue. Une fraude symétrique se traite symétriquement.</w:t>
      </w:r>
    </w:p>
    <w:p>
      <w:pPr>
        <w:spacing w:before="0" w:after="80" w:line="312" w:lineRule="auto"/>
        <w:ind w:firstLine="397"/>
        <w:jc w:val="both"/>
      </w:pPr>
      <w:r>
        <w:rPr>
          <w:rFonts w:ascii="IBM Plex Serif" w:hAnsi="IBM Plex Serif" w:cs="IBM Plex Serif" w:eastAsia="IBM Plex Serif"/>
          <w:b w:val="0"/>
          <w:i w:val="0"/>
          <w:color w:val="1C1A17"/>
          <w:sz w:val="21"/>
        </w:rPr>
        <w:t xml:space="preserve">Un point de conception mérite d'être souligné, car il est contre-intuitif. La double confirmation d'arrivée ne </w:t>
      </w:r>
      <w:r>
        <w:rPr>
          <w:rFonts w:ascii="IBM Plex Serif" w:hAnsi="IBM Plex Serif" w:cs="IBM Plex Serif" w:eastAsia="IBM Plex Serif"/>
          <w:b/>
          <w:i w:val="0"/>
          <w:color w:val="1C1A17"/>
          <w:sz w:val="21"/>
        </w:rPr>
        <w:t>crée</w:t>
      </w:r>
      <w:r>
        <w:rPr>
          <w:rFonts w:ascii="IBM Plex Serif" w:hAnsi="IBM Plex Serif" w:cs="IBM Plex Serif" w:eastAsia="IBM Plex Serif"/>
          <w:b w:val="0"/>
          <w:i w:val="0"/>
          <w:color w:val="1C1A17"/>
          <w:sz w:val="21"/>
        </w:rPr>
        <w:t xml:space="preserve"> aucun droit à facturation : elle ne fait que hisser d'un cran une preuve déjà acquise par la trace. Le raisonnement est simple — dès qu'une confirmation conditionnerait la facture, le débiteur aurait intérêt à la retenir.</w:t>
      </w:r>
    </w:p>
    <w:p>
      <w:pPr>
        <w:spacing w:before="0" w:after="80" w:line="312" w:lineRule="auto"/>
        <w:ind w:firstLine="397"/>
        <w:jc w:val="both"/>
      </w:pPr>
      <w:r>
        <w:rPr>
          <w:rFonts w:ascii="IBM Plex Serif" w:hAnsi="IBM Plex Serif" w:cs="IBM Plex Serif" w:eastAsia="IBM Plex Serif"/>
          <w:b w:val="0"/>
          <w:i w:val="0"/>
          <w:color w:val="1C1A17"/>
          <w:sz w:val="21"/>
        </w:rPr>
        <w:t>Chaque intervention close écrit une ligne au registre, y compris lorsque rien n'est dû, avec le motif en clair. Une ligne manquante ne se compte pas, et c'est tout l'intérêt d'un registre d'observation.</w:t>
      </w:r>
    </w:p>
    <w:p>
      <w:pPr>
        <w:spacing w:before="200" w:after="80"/>
        <w:keepNext w:val="1"/>
      </w:pPr>
      <w:r>
        <w:rPr>
          <w:rFonts w:ascii="IBM Plex Sans" w:hAnsi="IBM Plex Sans" w:cs="IBM Plex Sans" w:eastAsia="IBM Plex Sans"/>
          <w:b/>
          <w:i w:val="0"/>
          <w:color w:val="C62A26"/>
          <w:sz w:val="18"/>
        </w:rPr>
        <w:t xml:space="preserve">Tableau 23 — </w:t>
      </w:r>
      <w:r>
        <w:rPr>
          <w:rFonts w:ascii="IBM Plex Sans" w:hAnsi="IBM Plex Sans" w:cs="IBM Plex Sans" w:eastAsia="IBM Plex Sans"/>
          <w:b w:val="0"/>
          <w:i w:val="0"/>
          <w:color w:val="55514A"/>
          <w:sz w:val="18"/>
        </w:rPr>
        <w:t>Barème d'hypothèse, en francs CFA</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Classe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Situation</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Montant</w:t>
            </w:r>
          </w:p>
        </w:tc>
      </w:tr>
      <w:tr>
        <w:tc>
          <w:tcPr>
            <w:tcW w:type="dxa" w:w="3099"/>
          </w:tcPr>
          <w:p>
            <w:pPr>
              <w:spacing w:before="60" w:after="60" w:line="269" w:lineRule="auto"/>
            </w:pPr>
            <w:r/>
            <w:r>
              <w:rPr>
                <w:rFonts w:ascii="IBM Plex Mono" w:hAnsi="IBM Plex Mono" w:cs="IBM Plex Mono" w:eastAsia="IBM Plex Mono"/>
                <w:b w:val="0"/>
                <w:i w:val="0"/>
                <w:color w:val="55514A"/>
                <w:sz w:val="16"/>
              </w:rPr>
              <w:t>light</w:t>
            </w:r>
          </w:p>
        </w:tc>
        <w:tc>
          <w:tcPr>
            <w:tcW w:type="dxa" w:w="3099"/>
          </w:tcPr>
          <w:p>
            <w:pPr>
              <w:spacing w:before="60" w:after="60" w:line="269" w:lineRule="auto"/>
            </w:pPr>
            <w:r/>
            <w:r>
              <w:rPr>
                <w:rFonts w:ascii="IBM Plex Serif" w:hAnsi="IBM Plex Serif" w:cs="IBM Plex Serif" w:eastAsia="IBM Plex Serif"/>
                <w:b w:val="0"/>
                <w:i w:val="0"/>
                <w:color w:val="1C1A17"/>
                <w:sz w:val="18"/>
              </w:rPr>
              <w:t>Le véhicule roule encore : batterie, pneu, panne sèche, éclairage</w:t>
            </w:r>
          </w:p>
        </w:tc>
        <w:tc>
          <w:tcPr>
            <w:tcW w:type="dxa" w:w="3099"/>
          </w:tcPr>
          <w:p>
            <w:pPr>
              <w:spacing w:before="60" w:after="60" w:line="269" w:lineRule="auto"/>
            </w:pPr>
            <w:r/>
            <w:r>
              <w:rPr>
                <w:rFonts w:ascii="IBM Plex Serif" w:hAnsi="IBM Plex Serif" w:cs="IBM Plex Serif" w:eastAsia="IBM Plex Serif"/>
                <w:b w:val="0"/>
                <w:i w:val="0"/>
                <w:color w:val="1C1A17"/>
                <w:sz w:val="18"/>
              </w:rPr>
              <w:t>500</w:t>
            </w:r>
          </w:p>
        </w:tc>
      </w:tr>
      <w:tr>
        <w:tc>
          <w:tcPr>
            <w:tcW w:type="dxa" w:w="3099"/>
          </w:tcPr>
          <w:p>
            <w:pPr>
              <w:spacing w:before="60" w:after="60" w:line="269" w:lineRule="auto"/>
            </w:pPr>
            <w:r/>
            <w:r>
              <w:rPr>
                <w:rFonts w:ascii="IBM Plex Mono" w:hAnsi="IBM Plex Mono" w:cs="IBM Plex Mono" w:eastAsia="IBM Plex Mono"/>
                <w:b w:val="0"/>
                <w:i w:val="0"/>
                <w:color w:val="55514A"/>
                <w:sz w:val="16"/>
              </w:rPr>
              <w:t>heavy</w:t>
            </w:r>
          </w:p>
        </w:tc>
        <w:tc>
          <w:tcPr>
            <w:tcW w:type="dxa" w:w="3099"/>
          </w:tcPr>
          <w:p>
            <w:pPr>
              <w:spacing w:before="60" w:after="60" w:line="269" w:lineRule="auto"/>
            </w:pPr>
            <w:r/>
            <w:r>
              <w:rPr>
                <w:rFonts w:ascii="IBM Plex Serif" w:hAnsi="IBM Plex Serif" w:cs="IBM Plex Serif" w:eastAsia="IBM Plex Serif"/>
                <w:b w:val="0"/>
                <w:i w:val="0"/>
                <w:color w:val="1C1A17"/>
                <w:sz w:val="18"/>
              </w:rPr>
              <w:t>Le véhicule ne roule plus, ou accident : plateau, mécanique</w:t>
            </w:r>
          </w:p>
        </w:tc>
        <w:tc>
          <w:tcPr>
            <w:tcW w:type="dxa" w:w="3099"/>
          </w:tcPr>
          <w:p>
            <w:pPr>
              <w:spacing w:before="60" w:after="60" w:line="269" w:lineRule="auto"/>
            </w:pPr>
            <w:r/>
            <w:r>
              <w:rPr>
                <w:rFonts w:ascii="IBM Plex Serif" w:hAnsi="IBM Plex Serif" w:cs="IBM Plex Serif" w:eastAsia="IBM Plex Serif"/>
                <w:b w:val="0"/>
                <w:i w:val="0"/>
                <w:color w:val="1C1A17"/>
                <w:sz w:val="18"/>
              </w:rPr>
              <w:t>1 500</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Paire récurrente</w:t>
            </w:r>
          </w:p>
        </w:tc>
        <w:tc>
          <w:tcPr>
            <w:tcW w:type="dxa" w:w="3099"/>
          </w:tcPr>
          <w:p>
            <w:pPr>
              <w:spacing w:before="60" w:after="60" w:line="269" w:lineRule="auto"/>
            </w:pPr>
            <w:r/>
            <w:r>
              <w:rPr>
                <w:rFonts w:ascii="IBM Plex Serif" w:hAnsi="IBM Plex Serif" w:cs="IBM Plex Serif" w:eastAsia="IBM Plex Serif"/>
                <w:b w:val="0"/>
                <w:i w:val="0"/>
                <w:color w:val="1C1A17"/>
                <w:sz w:val="18"/>
              </w:rPr>
              <w:t>Ce client est déjà venu chez ce garage par l'application</w:t>
            </w:r>
          </w:p>
        </w:tc>
        <w:tc>
          <w:tcPr>
            <w:tcW w:type="dxa" w:w="3099"/>
          </w:tcPr>
          <w:p>
            <w:pPr>
              <w:spacing w:before="60" w:after="60" w:line="269" w:lineRule="auto"/>
            </w:pPr>
            <w:r/>
            <w:r>
              <w:rPr>
                <w:rFonts w:ascii="IBM Plex Serif" w:hAnsi="IBM Plex Serif" w:cs="IBM Plex Serif" w:eastAsia="IBM Plex Serif"/>
                <w:b w:val="0"/>
                <w:i w:val="0"/>
                <w:color w:val="1C1A17"/>
                <w:sz w:val="18"/>
              </w:rPr>
              <w:t>Moitié du tarif</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La remise de moitié accordée aux clients qui reviennent n'est pas une générosité, c'est la réponse à la désintermédiation. Un garage qui a rencontré un client une fois détient son numéro et n'a plus besoin de l'application — sauf si continuer à passer par elle lui revient moins cher que le premier contact. La menace devient alors un argument commercial.</w:t>
      </w:r>
    </w:p>
    <w:p>
      <w:pPr>
        <w:spacing w:before="0" w:after="80" w:line="312" w:lineRule="auto"/>
        <w:ind w:firstLine="397"/>
        <w:jc w:val="both"/>
      </w:pPr>
      <w:r>
        <w:rPr>
          <w:rFonts w:ascii="IBM Plex Serif" w:hAnsi="IBM Plex Serif" w:cs="IBM Plex Serif" w:eastAsia="IBM Plex Serif"/>
          <w:b w:val="0"/>
          <w:i w:val="0"/>
          <w:color w:val="1C1A17"/>
          <w:sz w:val="21"/>
        </w:rPr>
        <w:t>Les montants sont arrondis à la cinquantaine inférieure et non à la centaine, parce que la remise de moitié produit des montants en 250 et 750 qu'un arrondi à la centaine ramènerait à 200 et 700, soit une remise de soixante pour cent au lieu de cinquante. On ne promet pas la moitié pour en donner davantage. Cinquante francs est par ailleurs la plus petite pièce d'usage courant, ce qui garantit qu'un montant se vérifie de tête.</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Rien n'est prélevé pour l'instant, et c'est le but</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Le registre tourne en observation : il inscrit ce qu'on aurait facturé sans qu'un franc ne change de main. Au bout de deux mois on saura combien de clients ont été apportés, dans quelle proportion d'interventions légères et lourdes, et combien de clients reviennent chez le même garage. Le barème se décidera sur ces chiffres au lieu d'une intuition, et le basculement ne coûtera qu'une constante. Un script d'étalonnage relit les interventions terminées et compte les faux négatifs — des demandes closes dont la preuve n'atteint pas le seuil, l'erreur qui fait fuir les garages honnêtes — et les faux positifs, qui cassent la confiance dans l'autre sens.</w:t>
      </w:r>
    </w:p>
    <w:p>
      <w:pPr>
        <w:spacing w:before="320" w:after="100"/>
        <w:keepNext w:val="1"/>
      </w:pPr>
      <w:r>
        <w:rPr>
          <w:rFonts w:ascii="IBM Plex Mono" w:hAnsi="IBM Plex Mono" w:cs="IBM Plex Mono" w:eastAsia="IBM Plex Mono"/>
          <w:b/>
          <w:i w:val="0"/>
          <w:color w:val="C62A26"/>
          <w:sz w:val="26"/>
        </w:rPr>
        <w:t xml:space="preserve">6.8   </w:t>
      </w:r>
      <w:r>
        <w:rPr>
          <w:rFonts w:ascii="Bebas Neue" w:hAnsi="Bebas Neue" w:cs="Bebas Neue" w:eastAsia="Bebas Neue"/>
          <w:b w:val="0"/>
          <w:i w:val="0"/>
          <w:color w:val="1C1A17"/>
          <w:sz w:val="36"/>
          <w:spacing w:val="10"/>
        </w:rPr>
        <w:t>Contrats de l'interface de programmation</w:t>
      </w:r>
    </w:p>
    <w:p>
      <w:pPr>
        <w:spacing w:before="0" w:after="80" w:line="312" w:lineRule="auto"/>
        <w:ind w:firstLine="397"/>
        <w:jc w:val="both"/>
      </w:pPr>
      <w:r>
        <w:rPr>
          <w:rFonts w:ascii="IBM Plex Serif" w:hAnsi="IBM Plex Serif" w:cs="IBM Plex Serif" w:eastAsia="IBM Plex Serif"/>
          <w:b w:val="0"/>
          <w:i w:val="0"/>
          <w:color w:val="1C1A17"/>
          <w:sz w:val="21"/>
        </w:rPr>
        <w:t>L'interface expose quarante-trois routes réparties en six domaines. Les erreurs suivent toujours la même forme, un objet portant un code, un message et éventuellement les champs fautifs ; le mobile traduit sur le code et jamais sur le message, ce qui permet de changer les libellés sans casser les clients. Les dates sont exprimées en temps universel au format normalisé, la pagination est enveloppée, et chaque entrée est validée par un schéma partagé avant d'atteindre le contrôleur.</w:t>
      </w:r>
    </w:p>
    <w:p>
      <w:pPr>
        <w:spacing w:before="200" w:after="80"/>
        <w:keepNext w:val="1"/>
      </w:pPr>
      <w:r>
        <w:rPr>
          <w:rFonts w:ascii="IBM Plex Sans" w:hAnsi="IBM Plex Sans" w:cs="IBM Plex Sans" w:eastAsia="IBM Plex Sans"/>
          <w:b/>
          <w:i w:val="0"/>
          <w:color w:val="C62A26"/>
          <w:sz w:val="18"/>
        </w:rPr>
        <w:t xml:space="preserve">Tableau 24 — </w:t>
      </w:r>
      <w:r>
        <w:rPr>
          <w:rFonts w:ascii="IBM Plex Sans" w:hAnsi="IBM Plex Sans" w:cs="IBM Plex Sans" w:eastAsia="IBM Plex Sans"/>
          <w:b w:val="0"/>
          <w:i w:val="0"/>
          <w:color w:val="55514A"/>
          <w:sz w:val="18"/>
        </w:rPr>
        <w:t>Routes principales de l'interface de programmation</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Méthode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Route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/auth/signup · /login · /refresh · /logout</w:t>
            </w:r>
          </w:p>
        </w:tc>
        <w:tc>
          <w:tcPr>
            <w:tcW w:type="dxa" w:w="3099"/>
          </w:tcPr>
          <w:p>
            <w:pPr>
              <w:spacing w:before="60" w:after="60" w:line="269" w:lineRule="auto"/>
            </w:pPr>
            <w:r/>
            <w:r>
              <w:rPr>
                <w:rFonts w:ascii="IBM Plex Serif" w:hAnsi="IBM Plex Serif" w:cs="IBM Plex Serif" w:eastAsia="IBM Plex Serif"/>
                <w:b w:val="0"/>
                <w:i w:val="0"/>
                <w:color w:val="1C1A17"/>
                <w:sz w:val="18"/>
              </w:rPr>
              <w:t>Authentification, rotation du jeton de rafraîchissement, jeton opaque haché en base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w:t>
            </w:r>
          </w:p>
        </w:tc>
        <w:tc>
          <w:tcPr>
            <w:tcW w:type="dxa" w:w="3099"/>
          </w:tcPr>
          <w:p>
            <w:pPr>
              <w:spacing w:before="60" w:after="60" w:line="269" w:lineRule="auto"/>
            </w:pPr>
            <w:r/>
            <w:r>
              <w:rPr>
                <w:rFonts w:ascii="IBM Plex Serif" w:hAnsi="IBM Plex Serif" w:cs="IBM Plex Serif" w:eastAsia="IBM Plex Serif"/>
                <w:b w:val="0"/>
                <w:i w:val="0"/>
                <w:color w:val="1C1A17"/>
                <w:sz w:val="18"/>
              </w:rPr>
              <w:t>/garages/nearby</w:t>
            </w:r>
          </w:p>
        </w:tc>
        <w:tc>
          <w:tcPr>
            <w:tcW w:type="dxa" w:w="3099"/>
          </w:tcPr>
          <w:p>
            <w:pPr>
              <w:spacing w:before="60" w:after="60" w:line="269" w:lineRule="auto"/>
            </w:pPr>
            <w:r/>
            <w:r>
              <w:rPr>
                <w:rFonts w:ascii="IBM Plex Serif" w:hAnsi="IBM Plex Serif" w:cs="IBM Plex Serif" w:eastAsia="IBM Plex Serif"/>
                <w:b w:val="0"/>
                <w:i w:val="0"/>
                <w:color w:val="1C1A17"/>
                <w:sz w:val="18"/>
              </w:rPr>
              <w:t>Recherche de proximité, publique, paramètres de rayon, tri, services et ouverture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w:t>
            </w:r>
          </w:p>
        </w:tc>
        <w:tc>
          <w:tcPr>
            <w:tcW w:type="dxa" w:w="3099"/>
          </w:tcPr>
          <w:p>
            <w:pPr>
              <w:spacing w:before="60" w:after="60" w:line="269" w:lineRule="auto"/>
            </w:pPr>
            <w:r/>
            <w:r>
              <w:rPr>
                <w:rFonts w:ascii="IBM Plex Serif" w:hAnsi="IBM Plex Serif" w:cs="IBM Plex Serif" w:eastAsia="IBM Plex Serif"/>
                <w:b w:val="0"/>
                <w:i w:val="0"/>
                <w:color w:val="1C1A17"/>
                <w:sz w:val="18"/>
              </w:rPr>
              <w:t>/garages/:id · /:id/reviews</w:t>
            </w:r>
          </w:p>
        </w:tc>
        <w:tc>
          <w:tcPr>
            <w:tcW w:type="dxa" w:w="3099"/>
          </w:tcPr>
          <w:p>
            <w:pPr>
              <w:spacing w:before="60" w:after="60" w:line="269" w:lineRule="auto"/>
            </w:pPr>
            <w:r/>
            <w:r>
              <w:rPr>
                <w:rFonts w:ascii="IBM Plex Serif" w:hAnsi="IBM Plex Serif" w:cs="IBM Plex Serif" w:eastAsia="IBM Plex Serif"/>
                <w:b w:val="0"/>
                <w:i w:val="0"/>
                <w:color w:val="1C1A17"/>
                <w:sz w:val="18"/>
              </w:rPr>
              <w:t>Fiche complète et avis paginés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w:t>
            </w:r>
          </w:p>
        </w:tc>
        <w:tc>
          <w:tcPr>
            <w:tcW w:type="dxa" w:w="3099"/>
          </w:tcPr>
          <w:p>
            <w:pPr>
              <w:spacing w:before="60" w:after="60" w:line="269" w:lineRule="auto"/>
            </w:pPr>
            <w:r/>
            <w:r>
              <w:rPr>
                <w:rFonts w:ascii="IBM Plex Serif" w:hAnsi="IBM Plex Serif" w:cs="IBM Plex Serif" w:eastAsia="IBM Plex Serif"/>
                <w:b w:val="0"/>
                <w:i w:val="0"/>
                <w:color w:val="1C1A17"/>
                <w:sz w:val="18"/>
              </w:rPr>
              <w:t>Crée la demande et renvoie les garages classés dans la même réponse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/requests/active · /mine · /garage</w:t>
            </w:r>
          </w:p>
        </w:tc>
        <w:tc>
          <w:tcPr>
            <w:tcW w:type="dxa" w:w="3099"/>
          </w:tcPr>
          <w:p>
            <w:pPr>
              <w:spacing w:before="60" w:after="60" w:line="269" w:lineRule="auto"/>
            </w:pPr>
            <w:r/>
            <w:r>
              <w:rPr>
                <w:rFonts w:ascii="IBM Plex Serif" w:hAnsi="IBM Plex Serif" w:cs="IBM Plex Serif" w:eastAsia="IBM Plex Serif"/>
                <w:b w:val="0"/>
                <w:i w:val="0"/>
                <w:color w:val="1C1A17"/>
                <w:sz w:val="18"/>
              </w:rPr>
              <w:t>Demande en cours, historique du client, file de travail du garage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/requests/:id/select · /accept · /decline · /en-route</w:t>
            </w:r>
          </w:p>
        </w:tc>
        <w:tc>
          <w:tcPr>
            <w:tcW w:type="dxa" w:w="3099"/>
          </w:tcPr>
          <w:p>
            <w:pPr>
              <w:spacing w:before="60" w:after="60" w:line="269" w:lineRule="auto"/>
            </w:pPr>
            <w:r/>
            <w:r>
              <w:rPr>
                <w:rFonts w:ascii="IBM Plex Serif" w:hAnsi="IBM Plex Serif" w:cs="IBM Plex Serif" w:eastAsia="IBM Plex Serif"/>
                <w:b w:val="0"/>
                <w:i w:val="0"/>
                <w:color w:val="1C1A17"/>
                <w:sz w:val="18"/>
              </w:rPr>
              <w:t>Transitions de la machine à états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/requests/:id/arrive</w:t>
            </w:r>
          </w:p>
        </w:tc>
        <w:tc>
          <w:tcPr>
            <w:tcW w:type="dxa" w:w="3099"/>
          </w:tcPr>
          <w:p>
            <w:pPr>
              <w:spacing w:before="60" w:after="60" w:line="269" w:lineRule="auto"/>
            </w:pPr>
            <w:r/>
            <w:r>
              <w:rPr>
                <w:rFonts w:ascii="IBM Plex Serif" w:hAnsi="IBM Plex Serif" w:cs="IBM Plex Serif" w:eastAsia="IBM Plex Serif"/>
                <w:b w:val="0"/>
                <w:i w:val="0"/>
                <w:color w:val="1C1A17"/>
                <w:sz w:val="18"/>
              </w:rPr>
              <w:t>Confirmation d'arrivée, appelée par les deux parties, idempotente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/requests/:id/cancel</w:t>
            </w:r>
          </w:p>
        </w:tc>
        <w:tc>
          <w:tcPr>
            <w:tcW w:type="dxa" w:w="3099"/>
          </w:tcPr>
          <w:p>
            <w:pPr>
              <w:spacing w:before="60" w:after="60" w:line="269" w:lineRule="auto"/>
            </w:pPr>
            <w:r/>
            <w:r>
              <w:rPr>
                <w:rFonts w:ascii="IBM Plex Serif" w:hAnsi="IBM Plex Serif" w:cs="IBM Plex Serif" w:eastAsia="IBM Plex Serif"/>
                <w:b w:val="0"/>
                <w:i w:val="0"/>
                <w:color w:val="1C1A17"/>
                <w:sz w:val="18"/>
              </w:rPr>
              <w:t>Annulation par le client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/requests/:id</w:t>
            </w:r>
          </w:p>
        </w:tc>
        <w:tc>
          <w:tcPr>
            <w:tcW w:type="dxa" w:w="3099"/>
          </w:tcPr>
          <w:p>
            <w:pPr>
              <w:spacing w:before="60" w:after="60" w:line="269" w:lineRule="auto"/>
            </w:pPr>
            <w:r/>
            <w:r>
              <w:rPr>
                <w:rFonts w:ascii="IBM Plex Serif" w:hAnsi="IBM Plex Serif" w:cs="IBM Plex Serif" w:eastAsia="IBM Plex Serif"/>
                <w:b w:val="0"/>
                <w:i w:val="0"/>
                <w:color w:val="1C1A17"/>
                <w:sz w:val="18"/>
              </w:rPr>
              <w:t>État complet et dernier numéro de séquence — route du mode dégradé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/requests/:id/route · /approach</w:t>
            </w:r>
          </w:p>
        </w:tc>
        <w:tc>
          <w:tcPr>
            <w:tcW w:type="dxa" w:w="3099"/>
          </w:tcPr>
          <w:p>
            <w:pPr>
              <w:spacing w:before="60" w:after="60" w:line="269" w:lineRule="auto"/>
            </w:pPr>
            <w:r/>
            <w:r>
              <w:rPr>
                <w:rFonts w:ascii="IBM Plex Serif" w:hAnsi="IBM Plex Serif" w:cs="IBM Plex Serif" w:eastAsia="IBM Plex Serif"/>
                <w:b w:val="0"/>
                <w:i w:val="0"/>
                <w:color w:val="1C1A17"/>
                <w:sz w:val="18"/>
              </w:rPr>
              <w:t>Tracé d'itinéraire et phase d'approche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/requests/:id/review</w:t>
            </w:r>
          </w:p>
        </w:tc>
        <w:tc>
          <w:tcPr>
            <w:tcW w:type="dxa" w:w="3099"/>
          </w:tcPr>
          <w:p>
            <w:pPr>
              <w:spacing w:before="60" w:after="60" w:line="269" w:lineRule="auto"/>
            </w:pPr>
            <w:r/>
            <w:r>
              <w:rPr>
                <w:rFonts w:ascii="IBM Plex Serif" w:hAnsi="IBM Plex Serif" w:cs="IBM Plex Serif" w:eastAsia="IBM Plex Serif"/>
                <w:b w:val="0"/>
                <w:i w:val="0"/>
                <w:color w:val="1C1A17"/>
                <w:sz w:val="18"/>
              </w:rPr>
              <w:t>Publication d'un avis, refusée si la demande n'est pas clôturée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 · PATCH · DELETE</w:t>
            </w:r>
          </w:p>
        </w:tc>
        <w:tc>
          <w:tcPr>
            <w:tcW w:type="dxa" w:w="3099"/>
          </w:tcPr>
          <w:p>
            <w:pPr>
              <w:spacing w:before="60" w:after="60" w:line="269" w:lineRule="auto"/>
            </w:pPr>
            <w:r/>
            <w:r>
              <w:rPr>
                <w:rFonts w:ascii="IBM Plex Serif" w:hAnsi="IBM Plex Serif" w:cs="IBM Plex Serif" w:eastAsia="IBM Plex Serif"/>
                <w:b w:val="0"/>
                <w:i w:val="0"/>
                <w:color w:val="1C1A17"/>
                <w:sz w:val="18"/>
              </w:rPr>
              <w:t>/me · /me/garage · /me/vehicles</w:t>
            </w:r>
          </w:p>
        </w:tc>
        <w:tc>
          <w:tcPr>
            <w:tcW w:type="dxa" w:w="3099"/>
          </w:tcPr>
          <w:p>
            <w:pPr>
              <w:spacing w:before="60" w:after="60" w:line="269" w:lineRule="auto"/>
            </w:pPr>
            <w:r/>
            <w:r>
              <w:rPr>
                <w:rFonts w:ascii="IBM Plex Serif" w:hAnsi="IBM Plex Serif" w:cs="IBM Plex Serif" w:eastAsia="IBM Plex Serif"/>
                <w:b w:val="0"/>
                <w:i w:val="0"/>
                <w:color w:val="1C1A17"/>
                <w:sz w:val="18"/>
              </w:rPr>
              <w:t>Profil, garage du propriétaire, véhicules enregistrés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GET</w:t>
            </w:r>
          </w:p>
        </w:tc>
        <w:tc>
          <w:tcPr>
            <w:tcW w:type="dxa" w:w="3099"/>
          </w:tcPr>
          <w:p>
            <w:pPr>
              <w:spacing w:before="60" w:after="60" w:line="269" w:lineRule="auto"/>
            </w:pPr>
            <w:r/>
            <w:r>
              <w:rPr>
                <w:rFonts w:ascii="IBM Plex Serif" w:hAnsi="IBM Plex Serif" w:cs="IBM Plex Serif" w:eastAsia="IBM Plex Serif"/>
                <w:b w:val="0"/>
                <w:i w:val="0"/>
                <w:color w:val="1C1A17"/>
                <w:sz w:val="18"/>
              </w:rPr>
              <w:t>/me/loyalty · /me/loyalty/history</w:t>
            </w:r>
          </w:p>
        </w:tc>
        <w:tc>
          <w:tcPr>
            <w:tcW w:type="dxa" w:w="3099"/>
          </w:tcPr>
          <w:p>
            <w:pPr>
              <w:spacing w:before="60" w:after="60" w:line="269" w:lineRule="auto"/>
            </w:pPr>
            <w:r/>
            <w:r>
              <w:rPr>
                <w:rFonts w:ascii="IBM Plex Serif" w:hAnsi="IBM Plex Serif" w:cs="IBM Plex Serif" w:eastAsia="IBM Plex Serif"/>
                <w:b w:val="0"/>
                <w:i w:val="0"/>
                <w:color w:val="1C1A17"/>
                <w:sz w:val="18"/>
              </w:rPr>
              <w:t>Solde, grade et historique des mouvements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/me/referral/claim</w:t>
            </w:r>
          </w:p>
        </w:tc>
        <w:tc>
          <w:tcPr>
            <w:tcW w:type="dxa" w:w="3099"/>
          </w:tcPr>
          <w:p>
            <w:pPr>
              <w:spacing w:before="60" w:after="60" w:line="269" w:lineRule="auto"/>
            </w:pPr>
            <w:r/>
            <w:r>
              <w:rPr>
                <w:rFonts w:ascii="IBM Plex Serif" w:hAnsi="IBM Plex Serif" w:cs="IBM Plex Serif" w:eastAsia="IBM Plex Serif"/>
                <w:b w:val="0"/>
                <w:i w:val="0"/>
                <w:color w:val="1C1A17"/>
                <w:sz w:val="18"/>
              </w:rPr>
              <w:t>Rattachement à un parrain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/driving/sessions</w:t>
            </w:r>
          </w:p>
        </w:tc>
        <w:tc>
          <w:tcPr>
            <w:tcW w:type="dxa" w:w="3099"/>
          </w:tcPr>
          <w:p>
            <w:pPr>
              <w:spacing w:before="60" w:after="60" w:line="269" w:lineRule="auto"/>
            </w:pPr>
            <w:r/>
            <w:r>
              <w:rPr>
                <w:rFonts w:ascii="IBM Plex Serif" w:hAnsi="IBM Plex Serif" w:cs="IBM Plex Serif" w:eastAsia="IBM Plex Serif"/>
                <w:b w:val="0"/>
                <w:i w:val="0"/>
                <w:color w:val="1C1A17"/>
                <w:sz w:val="18"/>
              </w:rPr>
              <w:t>Envoi groupé en fin de session, tolérant au hors-ligne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POST</w:t>
            </w:r>
          </w:p>
        </w:tc>
        <w:tc>
          <w:tcPr>
            <w:tcW w:type="dxa" w:w="3099"/>
          </w:tcPr>
          <w:p>
            <w:pPr>
              <w:spacing w:before="60" w:after="60" w:line="269" w:lineRule="auto"/>
            </w:pPr>
            <w:r/>
            <w:r>
              <w:rPr>
                <w:rFonts w:ascii="IBM Plex Serif" w:hAnsi="IBM Plex Serif" w:cs="IBM Plex Serif" w:eastAsia="IBM Plex Serif"/>
                <w:b w:val="0"/>
                <w:i w:val="0"/>
                <w:color w:val="1C1A17"/>
                <w:sz w:val="18"/>
              </w:rPr>
              <w:t>/uploads/sign</w:t>
            </w:r>
          </w:p>
        </w:tc>
        <w:tc>
          <w:tcPr>
            <w:tcW w:type="dxa" w:w="3099"/>
          </w:tcPr>
          <w:p>
            <w:pPr>
              <w:spacing w:before="60" w:after="60" w:line="269" w:lineRule="auto"/>
            </w:pPr>
            <w:r/>
            <w:r>
              <w:rPr>
                <w:rFonts w:ascii="IBM Plex Serif" w:hAnsi="IBM Plex Serif" w:cs="IBM Plex Serif" w:eastAsia="IBM Plex Serif"/>
                <w:b w:val="0"/>
                <w:i w:val="0"/>
                <w:color w:val="1C1A17"/>
                <w:sz w:val="18"/>
              </w:rPr>
              <w:t>Signature d'envoi direct vers le service de stockage</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Deux routes appellent un commentaire.</w:t>
      </w:r>
    </w:p>
    <w:p>
      <w:pPr>
        <w:spacing w:before="0" w:after="80" w:line="312" w:lineRule="auto"/>
        <w:ind w:firstLine="397"/>
        <w:jc w:val="both"/>
      </w:pPr>
      <w:r>
        <w:rPr>
          <w:rFonts w:ascii="IBM Plex Serif" w:hAnsi="IBM Plex Serif" w:cs="IBM Plex Serif" w:eastAsia="IBM Plex Serif"/>
          <w:b w:val="0"/>
          <w:i w:val="0"/>
          <w:color w:val="1C1A17"/>
          <w:sz w:val="21"/>
        </w:rPr>
        <w:t>La route d'état d'une demande est la clé de voûte du mode dégradé. Elle retourne l'état complet et le dernier numéro de séquence, ce qui suffit à reconstruire un écran de suivi depuis zéro. C'est délibérément la même route que celle du premier chargement.</w:t>
      </w:r>
    </w:p>
    <w:p>
      <w:pPr>
        <w:spacing w:before="0" w:after="80" w:line="312" w:lineRule="auto"/>
        <w:ind w:firstLine="397"/>
        <w:jc w:val="both"/>
      </w:pPr>
      <w:r>
        <w:rPr>
          <w:rFonts w:ascii="IBM Plex Serif" w:hAnsi="IBM Plex Serif" w:cs="IBM Plex Serif" w:eastAsia="IBM Plex Serif"/>
          <w:b w:val="0"/>
          <w:i w:val="0"/>
          <w:color w:val="1C1A17"/>
          <w:sz w:val="21"/>
        </w:rPr>
        <w:t>La route d'envoi des sessions de conduite fonctionne par lot en fin de session plutôt qu'en continu. Les sessions sont stockées localement pendant leur déroulement et synchronisées à la fin, avec un identifiant généré par le mobile qui rend le renvoi idempotent si le réseau coupe pendant la synchronisation. Une session de conduite n'a aucune raison de consommer du réseau en direct.</w:t>
      </w:r>
    </w:p>
    <w:p>
      <w:pPr>
        <w:spacing w:before="320" w:after="100"/>
        <w:keepNext w:val="1"/>
      </w:pPr>
      <w:r>
        <w:rPr>
          <w:rFonts w:ascii="IBM Plex Mono" w:hAnsi="IBM Plex Mono" w:cs="IBM Plex Mono" w:eastAsia="IBM Plex Mono"/>
          <w:b/>
          <w:i w:val="0"/>
          <w:color w:val="C62A26"/>
          <w:sz w:val="26"/>
        </w:rPr>
        <w:t xml:space="preserve">6.9   </w:t>
      </w:r>
      <w:r>
        <w:rPr>
          <w:rFonts w:ascii="Bebas Neue" w:hAnsi="Bebas Neue" w:cs="Bebas Neue" w:eastAsia="Bebas Neue"/>
          <w:b w:val="0"/>
          <w:i w:val="0"/>
          <w:color w:val="1C1A17"/>
          <w:sz w:val="36"/>
          <w:spacing w:val="10"/>
        </w:rPr>
        <w:t>Protocole temps réel</w:t>
      </w:r>
    </w:p>
    <w:p>
      <w:pPr>
        <w:spacing w:before="0" w:after="80" w:line="312" w:lineRule="auto"/>
        <w:ind w:firstLine="397"/>
        <w:jc w:val="both"/>
      </w:pPr>
      <w:r>
        <w:rPr>
          <w:rFonts w:ascii="IBM Plex Serif" w:hAnsi="IBM Plex Serif" w:cs="IBM Plex Serif" w:eastAsia="IBM Plex Serif"/>
          <w:b w:val="0"/>
          <w:i w:val="0"/>
          <w:color w:val="1C1A17"/>
          <w:sz w:val="21"/>
        </w:rPr>
        <w:t>Le canal temps réel repose sur des salles nommées par identifiant de demande, rejointes après vérification du jeton d'authentification et contrôle d'appartenance à la demande.</w:t>
      </w:r>
    </w:p>
    <w:p>
      <w:pPr>
        <w:spacing w:before="200" w:after="80"/>
        <w:keepNext w:val="1"/>
      </w:pPr>
      <w:r>
        <w:rPr>
          <w:rFonts w:ascii="IBM Plex Sans" w:hAnsi="IBM Plex Sans" w:cs="IBM Plex Sans" w:eastAsia="IBM Plex Sans"/>
          <w:b/>
          <w:i w:val="0"/>
          <w:color w:val="C62A26"/>
          <w:sz w:val="18"/>
        </w:rPr>
        <w:t xml:space="preserve">Tableau 25 — </w:t>
      </w:r>
      <w:r>
        <w:rPr>
          <w:rFonts w:ascii="IBM Plex Sans" w:hAnsi="IBM Plex Sans" w:cs="IBM Plex Sans" w:eastAsia="IBM Plex Sans"/>
          <w:b w:val="0"/>
          <w:i w:val="0"/>
          <w:color w:val="55514A"/>
          <w:sz w:val="18"/>
        </w:rPr>
        <w:t>Événements du canal temps réel</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Sens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Événement</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Charge utile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Client vers serveur</w:t>
            </w:r>
          </w:p>
        </w:tc>
        <w:tc>
          <w:tcPr>
            <w:tcW w:type="dxa" w:w="3099"/>
          </w:tcPr>
          <w:p>
            <w:pPr>
              <w:spacing w:before="60" w:after="60" w:line="269" w:lineRule="auto"/>
            </w:pPr>
            <w:r/>
            <w:r>
              <w:rPr>
                <w:rFonts w:ascii="IBM Plex Serif" w:hAnsi="IBM Plex Serif" w:cs="IBM Plex Serif" w:eastAsia="IBM Plex Serif"/>
                <w:b w:val="0"/>
                <w:i w:val="0"/>
                <w:color w:val="1C1A17"/>
                <w:sz w:val="18"/>
              </w:rPr>
              <w:t>request:join</w:t>
            </w:r>
          </w:p>
        </w:tc>
        <w:tc>
          <w:tcPr>
            <w:tcW w:type="dxa" w:w="3099"/>
          </w:tcPr>
          <w:p>
            <w:pPr>
              <w:spacing w:before="60" w:after="60" w:line="269" w:lineRule="auto"/>
            </w:pPr>
            <w:r/>
            <w:r>
              <w:rPr>
                <w:rFonts w:ascii="IBM Plex Serif" w:hAnsi="IBM Plex Serif" w:cs="IBM Plex Serif" w:eastAsia="IBM Plex Serif"/>
                <w:b w:val="0"/>
                <w:i w:val="0"/>
                <w:color w:val="1C1A17"/>
                <w:sz w:val="18"/>
              </w:rPr>
              <w:t>Identifiant de demande et dernier numéro de séquence connu</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Client vers serveur</w:t>
            </w:r>
          </w:p>
        </w:tc>
        <w:tc>
          <w:tcPr>
            <w:tcW w:type="dxa" w:w="3099"/>
          </w:tcPr>
          <w:p>
            <w:pPr>
              <w:spacing w:before="60" w:after="60" w:line="269" w:lineRule="auto"/>
            </w:pPr>
            <w:r/>
            <w:r>
              <w:rPr>
                <w:rFonts w:ascii="IBM Plex Serif" w:hAnsi="IBM Plex Serif" w:cs="IBM Plex Serif" w:eastAsia="IBM Plex Serif"/>
                <w:b w:val="0"/>
                <w:i w:val="0"/>
                <w:color w:val="1C1A17"/>
                <w:sz w:val="18"/>
              </w:rPr>
              <w:t>request:position</w:t>
            </w:r>
          </w:p>
        </w:tc>
        <w:tc>
          <w:tcPr>
            <w:tcW w:type="dxa" w:w="3099"/>
          </w:tcPr>
          <w:p>
            <w:pPr>
              <w:spacing w:before="60" w:after="60" w:line="269" w:lineRule="auto"/>
            </w:pPr>
            <w:r/>
            <w:r>
              <w:rPr>
                <w:rFonts w:ascii="IBM Plex Serif" w:hAnsi="IBM Plex Serif" w:cs="IBM Plex Serif" w:eastAsia="IBM Plex Serif"/>
                <w:b w:val="0"/>
                <w:i w:val="0"/>
                <w:color w:val="1C1A17"/>
                <w:sz w:val="18"/>
              </w:rPr>
              <w:t>Position, vitesse, cap et précision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Client vers serveur</w:t>
            </w:r>
          </w:p>
        </w:tc>
        <w:tc>
          <w:tcPr>
            <w:tcW w:type="dxa" w:w="3099"/>
          </w:tcPr>
          <w:p>
            <w:pPr>
              <w:spacing w:before="60" w:after="60" w:line="269" w:lineRule="auto"/>
            </w:pPr>
            <w:r/>
            <w:r>
              <w:rPr>
                <w:rFonts w:ascii="IBM Plex Serif" w:hAnsi="IBM Plex Serif" w:cs="IBM Plex Serif" w:eastAsia="IBM Plex Serif"/>
                <w:b w:val="0"/>
                <w:i w:val="0"/>
                <w:color w:val="1C1A17"/>
                <w:sz w:val="18"/>
              </w:rPr>
              <w:t>request:leave</w:t>
            </w:r>
          </w:p>
        </w:tc>
        <w:tc>
          <w:tcPr>
            <w:tcW w:type="dxa" w:w="3099"/>
          </w:tcPr>
          <w:p>
            <w:pPr>
              <w:spacing w:before="60" w:after="60" w:line="269" w:lineRule="auto"/>
            </w:pPr>
            <w:r/>
            <w:r>
              <w:rPr>
                <w:rFonts w:ascii="IBM Plex Serif" w:hAnsi="IBM Plex Serif" w:cs="IBM Plex Serif" w:eastAsia="IBM Plex Serif"/>
                <w:b w:val="0"/>
                <w:i w:val="0"/>
                <w:color w:val="1C1A17"/>
                <w:sz w:val="18"/>
              </w:rPr>
              <w:t>Sortie de la salle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Serveur vers client</w:t>
            </w:r>
          </w:p>
        </w:tc>
        <w:tc>
          <w:tcPr>
            <w:tcW w:type="dxa" w:w="3099"/>
          </w:tcPr>
          <w:p>
            <w:pPr>
              <w:spacing w:before="60" w:after="60" w:line="269" w:lineRule="auto"/>
            </w:pPr>
            <w:r/>
            <w:r>
              <w:rPr>
                <w:rFonts w:ascii="IBM Plex Serif" w:hAnsi="IBM Plex Serif" w:cs="IBM Plex Serif" w:eastAsia="IBM Plex Serif"/>
                <w:b w:val="0"/>
                <w:i w:val="0"/>
                <w:color w:val="1C1A17"/>
                <w:sz w:val="18"/>
              </w:rPr>
              <w:t>request:state</w:t>
            </w:r>
          </w:p>
        </w:tc>
        <w:tc>
          <w:tcPr>
            <w:tcW w:type="dxa" w:w="3099"/>
          </w:tcPr>
          <w:p>
            <w:pPr>
              <w:spacing w:before="60" w:after="60" w:line="269" w:lineRule="auto"/>
            </w:pPr>
            <w:r/>
            <w:r>
              <w:rPr>
                <w:rFonts w:ascii="IBM Plex Serif" w:hAnsi="IBM Plex Serif" w:cs="IBM Plex Serif" w:eastAsia="IBM Plex Serif"/>
                <w:b w:val="0"/>
                <w:i w:val="0"/>
                <w:color w:val="1C1A17"/>
                <w:sz w:val="18"/>
              </w:rPr>
              <w:t>Statut, dernier numéro de séquence et événements manqués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Serveur vers client</w:t>
            </w:r>
          </w:p>
        </w:tc>
        <w:tc>
          <w:tcPr>
            <w:tcW w:type="dxa" w:w="3099"/>
          </w:tcPr>
          <w:p>
            <w:pPr>
              <w:spacing w:before="60" w:after="60" w:line="269" w:lineRule="auto"/>
            </w:pPr>
            <w:r/>
            <w:r>
              <w:rPr>
                <w:rFonts w:ascii="IBM Plex Serif" w:hAnsi="IBM Plex Serif" w:cs="IBM Plex Serif" w:eastAsia="IBM Plex Serif"/>
                <w:b w:val="0"/>
                <w:i w:val="0"/>
                <w:color w:val="1C1A17"/>
                <w:sz w:val="18"/>
              </w:rPr>
              <w:t>request:tracking</w:t>
            </w:r>
          </w:p>
        </w:tc>
        <w:tc>
          <w:tcPr>
            <w:tcW w:type="dxa" w:w="3099"/>
          </w:tcPr>
          <w:p>
            <w:pPr>
              <w:spacing w:before="60" w:after="60" w:line="269" w:lineRule="auto"/>
            </w:pPr>
            <w:r/>
            <w:r>
              <w:rPr>
                <w:rFonts w:ascii="IBM Plex Serif" w:hAnsi="IBM Plex Serif" w:cs="IBM Plex Serif" w:eastAsia="IBM Plex Serif"/>
                <w:b w:val="0"/>
                <w:i w:val="0"/>
                <w:color w:val="1C1A17"/>
                <w:sz w:val="18"/>
              </w:rPr>
              <w:t>Les deux temps d'arrivée estimés et l'horodatage d'émission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Serveur vers client</w:t>
            </w:r>
          </w:p>
        </w:tc>
        <w:tc>
          <w:tcPr>
            <w:tcW w:type="dxa" w:w="3099"/>
          </w:tcPr>
          <w:p>
            <w:pPr>
              <w:spacing w:before="60" w:after="60" w:line="269" w:lineRule="auto"/>
            </w:pPr>
            <w:r/>
            <w:r>
              <w:rPr>
                <w:rFonts w:ascii="IBM Plex Serif" w:hAnsi="IBM Plex Serif" w:cs="IBM Plex Serif" w:eastAsia="IBM Plex Serif"/>
                <w:b w:val="0"/>
                <w:i w:val="0"/>
                <w:color w:val="1C1A17"/>
                <w:sz w:val="18"/>
              </w:rPr>
              <w:t>request:event</w:t>
            </w:r>
          </w:p>
        </w:tc>
        <w:tc>
          <w:tcPr>
            <w:tcW w:type="dxa" w:w="3099"/>
          </w:tcPr>
          <w:p>
            <w:pPr>
              <w:spacing w:before="60" w:after="60" w:line="269" w:lineRule="auto"/>
            </w:pPr>
            <w:r/>
            <w:r>
              <w:rPr>
                <w:rFonts w:ascii="IBM Plex Serif" w:hAnsi="IBM Plex Serif" w:cs="IBM Plex Serif" w:eastAsia="IBM Plex Serif"/>
                <w:b w:val="0"/>
                <w:i w:val="0"/>
                <w:color w:val="1C1A17"/>
                <w:sz w:val="18"/>
              </w:rPr>
              <w:t>Événement unitaire du journal</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Serveur vers client</w:t>
            </w:r>
          </w:p>
        </w:tc>
        <w:tc>
          <w:tcPr>
            <w:tcW w:type="dxa" w:w="3099"/>
          </w:tcPr>
          <w:p>
            <w:pPr>
              <w:spacing w:before="60" w:after="60" w:line="269" w:lineRule="auto"/>
            </w:pPr>
            <w:r/>
            <w:r>
              <w:rPr>
                <w:rFonts w:ascii="IBM Plex Serif" w:hAnsi="IBM Plex Serif" w:cs="IBM Plex Serif" w:eastAsia="IBM Plex Serif"/>
                <w:b w:val="0"/>
                <w:i w:val="0"/>
                <w:color w:val="1C1A17"/>
                <w:sz w:val="18"/>
              </w:rPr>
              <w:t>request:error</w:t>
            </w:r>
          </w:p>
        </w:tc>
        <w:tc>
          <w:tcPr>
            <w:tcW w:type="dxa" w:w="3099"/>
          </w:tcPr>
          <w:p>
            <w:pPr>
              <w:spacing w:before="60" w:after="60" w:line="269" w:lineRule="auto"/>
            </w:pPr>
            <w:r/>
            <w:r>
              <w:rPr>
                <w:rFonts w:ascii="IBM Plex Serif" w:hAnsi="IBM Plex Serif" w:cs="IBM Plex Serif" w:eastAsia="IBM Plex Serif"/>
                <w:b w:val="0"/>
                <w:i w:val="0"/>
                <w:color w:val="1C1A17"/>
                <w:sz w:val="18"/>
              </w:rPr>
              <w:t>Code d'erreur normalisé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Serveur vers propriétaire</w:t>
            </w:r>
          </w:p>
        </w:tc>
        <w:tc>
          <w:tcPr>
            <w:tcW w:type="dxa" w:w="3099"/>
          </w:tcPr>
          <w:p>
            <w:pPr>
              <w:spacing w:before="60" w:after="60" w:line="269" w:lineRule="auto"/>
            </w:pPr>
            <w:r/>
            <w:r>
              <w:rPr>
                <w:rFonts w:ascii="IBM Plex Serif" w:hAnsi="IBM Plex Serif" w:cs="IBM Plex Serif" w:eastAsia="IBM Plex Serif"/>
                <w:b w:val="0"/>
                <w:i w:val="0"/>
                <w:color w:val="1C1A17"/>
                <w:sz w:val="18"/>
              </w:rPr>
              <w:t>garage:jobs</w:t>
            </w:r>
          </w:p>
        </w:tc>
        <w:tc>
          <w:tcPr>
            <w:tcW w:type="dxa" w:w="3099"/>
          </w:tcPr>
          <w:p>
            <w:pPr>
              <w:spacing w:before="60" w:after="60" w:line="269" w:lineRule="auto"/>
            </w:pPr>
            <w:r/>
            <w:r>
              <w:rPr>
                <w:rFonts w:ascii="IBM Plex Serif" w:hAnsi="IBM Plex Serif" w:cs="IBM Plex Serif" w:eastAsia="IBM Plex Serif"/>
                <w:b w:val="0"/>
                <w:i w:val="0"/>
                <w:color w:val="1C1A17"/>
                <w:sz w:val="18"/>
              </w:rPr>
              <w:t>File de travail complète du garage</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La cadence d'émission combine un intervalle et un seuil de déplacement : une émission au plus toutes les quatre secondes, et seulement au-delà de quinze mètres parcourus. Le calcul qui a conduit à ces valeurs est simple. Un relevé pèse environ cent vingt octets ; une intervention de vingt minutes revient donc à une trentaine de kilooctets. Sans le seuil de déplacement, un véhicule arrêté dans un embouteillage émettrait trois cents relevés identiques pour rien.</w:t>
      </w:r>
    </w:p>
    <w:p>
      <w:pPr>
        <w:spacing w:before="0" w:after="80" w:line="312" w:lineRule="auto"/>
        <w:ind w:firstLine="397"/>
        <w:jc w:val="both"/>
      </w:pPr>
      <w:r>
        <w:rPr>
          <w:rFonts w:ascii="IBM Plex Serif" w:hAnsi="IBM Plex Serif" w:cs="IBM Plex Serif" w:eastAsia="IBM Plex Serif"/>
          <w:b w:val="0"/>
          <w:i w:val="0"/>
          <w:color w:val="1C1A17"/>
          <w:sz w:val="21"/>
        </w:rPr>
        <w:t>Les positions reçues passent par un lissage exponentiel et par un rejet des déplacements impliquant plus de cent cinquante kilomètres par heure, ce qui élimine les sauts de mesure caractéristiques d'un signal réfléchi entre deux immeubles.</w:t>
      </w:r>
    </w:p>
    <w:p>
      <w:pPr>
        <w:spacing w:before="0" w:after="80" w:line="312" w:lineRule="auto"/>
        <w:ind w:firstLine="397"/>
        <w:jc w:val="both"/>
      </w:pPr>
      <w:r>
        <w:rPr>
          <w:rFonts w:ascii="IBM Plex Serif" w:hAnsi="IBM Plex Serif" w:cs="IBM Plex Serif" w:eastAsia="IBM Plex Serif"/>
          <w:b w:val="0"/>
          <w:i w:val="0"/>
          <w:color w:val="1C1A17"/>
          <w:sz w:val="21"/>
        </w:rPr>
        <w:t>Enfin, l'indicateur de fraîcheur affiché à l'écran n'est pas l'intervalle nominal d'émission mais la différence entre l'heure courante et l'horodatage du dernier paquet reçu. La distinction est importante : le premier est une promesse, le second est une mesure. Sur un réseau irrégulier, les deux divergent souvent, et c'est précisément quand ils divergent que l'utilisateur a besoin de savoir laquelle des deux valeurs est vraie.</w:t>
      </w:r>
    </w:p>
    <w:p>
      <w:pPr>
        <w:spacing w:before="320" w:after="100"/>
        <w:keepNext w:val="1"/>
      </w:pPr>
      <w:r>
        <w:rPr>
          <w:rFonts w:ascii="IBM Plex Mono" w:hAnsi="IBM Plex Mono" w:cs="IBM Plex Mono" w:eastAsia="IBM Plex Mono"/>
          <w:b/>
          <w:i w:val="0"/>
          <w:color w:val="C62A26"/>
          <w:sz w:val="26"/>
        </w:rPr>
        <w:t xml:space="preserve">6.10   </w:t>
      </w:r>
      <w:r>
        <w:rPr>
          <w:rFonts w:ascii="Bebas Neue" w:hAnsi="Bebas Neue" w:cs="Bebas Neue" w:eastAsia="Bebas Neue"/>
          <w:b w:val="0"/>
          <w:i w:val="0"/>
          <w:color w:val="1C1A17"/>
          <w:sz w:val="36"/>
          <w:spacing w:val="10"/>
        </w:rPr>
        <w:t>Dispositif anti-fraude</w:t>
      </w:r>
    </w:p>
    <w:p>
      <w:pPr>
        <w:spacing w:before="0" w:after="80" w:line="312" w:lineRule="auto"/>
        <w:ind w:firstLine="397"/>
        <w:jc w:val="both"/>
      </w:pPr>
      <w:r>
        <w:rPr>
          <w:rFonts w:ascii="IBM Plex Serif" w:hAnsi="IBM Plex Serif" w:cs="IBM Plex Serif" w:eastAsia="IBM Plex Serif"/>
          <w:b w:val="0"/>
          <w:i w:val="0"/>
          <w:color w:val="1C1A17"/>
          <w:sz w:val="21"/>
        </w:rPr>
        <w:t>Ce dispositif est traité ici et non au chapitre des risques, parce qu'il fait partie des spécifications détaillées : ses seuils sont des constantes du paquet partagé, et ses effets sont inscrits dans le schéma.</w:t>
      </w:r>
    </w:p>
    <w:p>
      <w:pPr>
        <w:spacing w:before="0" w:after="80" w:line="312" w:lineRule="auto"/>
        <w:ind w:firstLine="397"/>
        <w:jc w:val="both"/>
      </w:pPr>
      <w:r>
        <w:rPr>
          <w:rFonts w:ascii="IBM Plex Serif" w:hAnsi="IBM Plex Serif" w:cs="IBM Plex Serif" w:eastAsia="IBM Plex Serif"/>
          <w:b w:val="0"/>
          <w:i w:val="0"/>
          <w:color w:val="1C1A17"/>
          <w:sz w:val="21"/>
        </w:rPr>
        <w:t>Le problème est le suivant. La double confirmation d'arrivée prouve que deux personnes se sont mises d'accord. Elle ne prouve pas qu'une intervention a eu lieu. Deux comptes complices, un client et un garage tenus par la même personne, peuvent se confirmer mutuellement sans que rien ne se produise, et faire ainsi imprimer de la valeur au système.</w:t>
      </w:r>
    </w:p>
    <w:p>
      <w:pPr>
        <w:spacing w:before="0" w:after="80" w:line="312" w:lineRule="auto"/>
        <w:ind w:firstLine="397"/>
        <w:jc w:val="both"/>
      </w:pPr>
      <w:r>
        <w:rPr>
          <w:rFonts w:ascii="IBM Plex Serif" w:hAnsi="IBM Plex Serif" w:cs="IBM Plex Serif" w:eastAsia="IBM Plex Serif"/>
          <w:b w:val="0"/>
          <w:i w:val="0"/>
          <w:color w:val="1C1A17"/>
          <w:sz w:val="21"/>
        </w:rPr>
        <w:t>La parade principale est la preuve de mouvement. Les relevés de position ne servent pas qu'à l'affichage : ils sont conservés et constituent une piste d'audit. Pour qu'un crédit soit validé, la trace doit montrer deux parties initialement éloignées puis convergentes. C'est ce qui casse la collusion statique, c'est-à-dire celle qui ne coûte rien à monter — deux téléphones posés côte à côte sur une table.</w:t>
      </w:r>
    </w:p>
    <w:p>
      <w:pPr>
        <w:spacing w:before="200" w:after="80"/>
        <w:keepNext w:val="1"/>
      </w:pPr>
      <w:r>
        <w:rPr>
          <w:rFonts w:ascii="IBM Plex Sans" w:hAnsi="IBM Plex Sans" w:cs="IBM Plex Sans" w:eastAsia="IBM Plex Sans"/>
          <w:b/>
          <w:i w:val="0"/>
          <w:color w:val="C62A26"/>
          <w:sz w:val="18"/>
        </w:rPr>
        <w:t xml:space="preserve">Tableau 26 — </w:t>
      </w:r>
      <w:r>
        <w:rPr>
          <w:rFonts w:ascii="IBM Plex Sans" w:hAnsi="IBM Plex Sans" w:cs="IBM Plex Sans" w:eastAsia="IBM Plex Sans"/>
          <w:b w:val="0"/>
          <w:i w:val="0"/>
          <w:color w:val="55514A"/>
          <w:sz w:val="18"/>
        </w:rPr>
        <w:t>Seuils du dispositif anti-fraude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Garde-fou</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Valeur</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Ce qu'il empêche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Durée minimale d'intervention</w:t>
            </w:r>
          </w:p>
        </w:tc>
        <w:tc>
          <w:tcPr>
            <w:tcW w:type="dxa" w:w="3099"/>
          </w:tcPr>
          <w:p>
            <w:pPr>
              <w:spacing w:before="60" w:after="60" w:line="269" w:lineRule="auto"/>
            </w:pPr>
            <w:r/>
            <w:r>
              <w:rPr>
                <w:rFonts w:ascii="IBM Plex Serif" w:hAnsi="IBM Plex Serif" w:cs="IBM Plex Serif" w:eastAsia="IBM Plex Serif"/>
                <w:b w:val="0"/>
                <w:i w:val="0"/>
                <w:color w:val="1C1A17"/>
                <w:sz w:val="18"/>
              </w:rPr>
              <w:t>180 secondes</w:t>
            </w:r>
          </w:p>
        </w:tc>
        <w:tc>
          <w:tcPr>
            <w:tcW w:type="dxa" w:w="3099"/>
          </w:tcPr>
          <w:p>
            <w:pPr>
              <w:spacing w:before="60" w:after="60" w:line="269" w:lineRule="auto"/>
            </w:pPr>
            <w:r/>
            <w:r>
              <w:rPr>
                <w:rFonts w:ascii="IBM Plex Serif" w:hAnsi="IBM Plex Serif" w:cs="IBM Plex Serif" w:eastAsia="IBM Plex Serif"/>
                <w:b w:val="0"/>
                <w:i w:val="0"/>
                <w:color w:val="1C1A17"/>
                <w:sz w:val="18"/>
              </w:rPr>
              <w:t>Une intervention trop courte pour être plausible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Séparation initiale minimale</w:t>
            </w:r>
          </w:p>
        </w:tc>
        <w:tc>
          <w:tcPr>
            <w:tcW w:type="dxa" w:w="3099"/>
          </w:tcPr>
          <w:p>
            <w:pPr>
              <w:spacing w:before="60" w:after="60" w:line="269" w:lineRule="auto"/>
            </w:pPr>
            <w:r/>
            <w:r>
              <w:rPr>
                <w:rFonts w:ascii="IBM Plex Serif" w:hAnsi="IBM Plex Serif" w:cs="IBM Plex Serif" w:eastAsia="IBM Plex Serif"/>
                <w:b w:val="0"/>
                <w:i w:val="0"/>
                <w:color w:val="1C1A17"/>
                <w:sz w:val="18"/>
              </w:rPr>
              <w:t>300 mètres</w:t>
            </w:r>
          </w:p>
        </w:tc>
        <w:tc>
          <w:tcPr>
            <w:tcW w:type="dxa" w:w="3099"/>
          </w:tcPr>
          <w:p>
            <w:pPr>
              <w:spacing w:before="60" w:after="60" w:line="269" w:lineRule="auto"/>
            </w:pPr>
            <w:r/>
            <w:r>
              <w:rPr>
                <w:rFonts w:ascii="IBM Plex Serif" w:hAnsi="IBM Plex Serif" w:cs="IBM Plex Serif" w:eastAsia="IBM Plex Serif"/>
                <w:b w:val="0"/>
                <w:i w:val="0"/>
                <w:color w:val="1C1A17"/>
                <w:sz w:val="18"/>
              </w:rPr>
              <w:t>Deux téléphones côte à côte se confirmant mutuellement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Distance parcourue par le garagiste</w:t>
            </w:r>
          </w:p>
        </w:tc>
        <w:tc>
          <w:tcPr>
            <w:tcW w:type="dxa" w:w="3099"/>
          </w:tcPr>
          <w:p>
            <w:pPr>
              <w:spacing w:before="60" w:after="60" w:line="269" w:lineRule="auto"/>
            </w:pPr>
            <w:r/>
            <w:r>
              <w:rPr>
                <w:rFonts w:ascii="IBM Plex Serif" w:hAnsi="IBM Plex Serif" w:cs="IBM Plex Serif" w:eastAsia="IBM Plex Serif"/>
                <w:b w:val="0"/>
                <w:i w:val="0"/>
                <w:color w:val="1C1A17"/>
                <w:sz w:val="18"/>
              </w:rPr>
              <w:t>200 mètres</w:t>
            </w:r>
          </w:p>
        </w:tc>
        <w:tc>
          <w:tcPr>
            <w:tcW w:type="dxa" w:w="3099"/>
          </w:tcPr>
          <w:p>
            <w:pPr>
              <w:spacing w:before="60" w:after="60" w:line="269" w:lineRule="auto"/>
            </w:pPr>
            <w:r/>
            <w:r>
              <w:rPr>
                <w:rFonts w:ascii="IBM Plex Serif" w:hAnsi="IBM Plex Serif" w:cs="IBM Plex Serif" w:eastAsia="IBM Plex Serif"/>
                <w:b w:val="0"/>
                <w:i w:val="0"/>
                <w:color w:val="1C1A17"/>
                <w:sz w:val="18"/>
              </w:rPr>
              <w:t>Un garagiste qui n'a jamais bougé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Période de différé avant confirmation</w:t>
            </w:r>
          </w:p>
        </w:tc>
        <w:tc>
          <w:tcPr>
            <w:tcW w:type="dxa" w:w="3099"/>
          </w:tcPr>
          <w:p>
            <w:pPr>
              <w:spacing w:before="60" w:after="60" w:line="269" w:lineRule="auto"/>
            </w:pPr>
            <w:r/>
            <w:r>
              <w:rPr>
                <w:rFonts w:ascii="IBM Plex Serif" w:hAnsi="IBM Plex Serif" w:cs="IBM Plex Serif" w:eastAsia="IBM Plex Serif"/>
                <w:b w:val="0"/>
                <w:i w:val="0"/>
                <w:color w:val="1C1A17"/>
                <w:sz w:val="18"/>
              </w:rPr>
              <w:t>24 heures</w:t>
            </w:r>
          </w:p>
        </w:tc>
        <w:tc>
          <w:tcPr>
            <w:tcW w:type="dxa" w:w="3099"/>
          </w:tcPr>
          <w:p>
            <w:pPr>
              <w:spacing w:before="60" w:after="60" w:line="269" w:lineRule="auto"/>
            </w:pPr>
            <w:r/>
            <w:r>
              <w:rPr>
                <w:rFonts w:ascii="IBM Plex Serif" w:hAnsi="IBM Plex Serif" w:cs="IBM Plex Serif" w:eastAsia="IBM Plex Serif"/>
                <w:b w:val="0"/>
                <w:i w:val="0"/>
                <w:color w:val="1C1A17"/>
                <w:sz w:val="18"/>
              </w:rPr>
              <w:t>Ferme une fenêtre d'annulation en cas de détection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Plafond par paire client-garage</w:t>
            </w:r>
          </w:p>
        </w:tc>
        <w:tc>
          <w:tcPr>
            <w:tcW w:type="dxa" w:w="3099"/>
          </w:tcPr>
          <w:p>
            <w:pPr>
              <w:spacing w:before="60" w:after="60" w:line="269" w:lineRule="auto"/>
            </w:pPr>
            <w:r/>
            <w:r>
              <w:rPr>
                <w:rFonts w:ascii="IBM Plex Serif" w:hAnsi="IBM Plex Serif" w:cs="IBM Plex Serif" w:eastAsia="IBM Plex Serif"/>
                <w:b w:val="0"/>
                <w:i w:val="0"/>
                <w:color w:val="1C1A17"/>
                <w:sz w:val="18"/>
              </w:rPr>
              <w:t>3 crédits sur 30 jours</w:t>
            </w:r>
          </w:p>
        </w:tc>
        <w:tc>
          <w:tcPr>
            <w:tcW w:type="dxa" w:w="3099"/>
          </w:tcPr>
          <w:p>
            <w:pPr>
              <w:spacing w:before="60" w:after="60" w:line="269" w:lineRule="auto"/>
            </w:pPr>
            <w:r/>
            <w:r>
              <w:rPr>
                <w:rFonts w:ascii="IBM Plex Serif" w:hAnsi="IBM Plex Serif" w:cs="IBM Plex Serif" w:eastAsia="IBM Plex Serif"/>
                <w:b w:val="0"/>
                <w:i w:val="0"/>
                <w:color w:val="1C1A17"/>
                <w:sz w:val="18"/>
              </w:rPr>
              <w:t>Une paire complice qui répéterait l'opération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Seuil de revue manuelle</w:t>
            </w:r>
          </w:p>
        </w:tc>
        <w:tc>
          <w:tcPr>
            <w:tcW w:type="dxa" w:w="3099"/>
          </w:tcPr>
          <w:p>
            <w:pPr>
              <w:spacing w:before="60" w:after="60" w:line="269" w:lineRule="auto"/>
            </w:pPr>
            <w:r/>
            <w:r>
              <w:rPr>
                <w:rFonts w:ascii="IBM Plex Serif" w:hAnsi="IBM Plex Serif" w:cs="IBM Plex Serif" w:eastAsia="IBM Plex Serif"/>
                <w:b w:val="0"/>
                <w:i w:val="0"/>
                <w:color w:val="1C1A17"/>
                <w:sz w:val="18"/>
              </w:rPr>
              <w:t>2 000 points</w:t>
            </w:r>
          </w:p>
        </w:tc>
        <w:tc>
          <w:tcPr>
            <w:tcW w:type="dxa" w:w="3099"/>
          </w:tcPr>
          <w:p>
            <w:pPr>
              <w:spacing w:before="60" w:after="60" w:line="269" w:lineRule="auto"/>
            </w:pPr>
            <w:r/>
            <w:r>
              <w:rPr>
                <w:rFonts w:ascii="IBM Plex Serif" w:hAnsi="IBM Plex Serif" w:cs="IBM Plex Serif" w:eastAsia="IBM Plex Serif"/>
                <w:b w:val="0"/>
                <w:i w:val="0"/>
                <w:color w:val="1C1A17"/>
                <w:sz w:val="18"/>
              </w:rPr>
              <w:t>Une conversion importante sans contrôle humain</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Ces seuils sont posés dès le schéma. Le raisonnement économique est explicite : installés dès le départ, ils ne coûtent rien ; rétro-installés après une fraude, ils coûtent une migration, un audit comptable et une perte de confiance. Enfin, la conversion en Mobile Money n'est jamais automatique dans la première version, ce qui laisse un humain dans la boucle sur l'opération irréversible.</w:t>
      </w:r>
    </w:p>
    <w:p>
      <w:pPr>
        <w:pageBreakBefore w:val="1"/>
        <w:spacing w:before="0" w:after="40"/>
      </w:pPr>
      <w:r>
        <w:rPr>
          <w:rFonts w:ascii="Bebas Neue" w:hAnsi="Bebas Neue" w:cs="Bebas Neue" w:eastAsia="Bebas Neue"/>
          <w:b w:val="0"/>
          <w:i w:val="0"/>
          <w:color w:val="C62A26"/>
          <w:sz w:val="22"/>
          <w:spacing w:val="38"/>
        </w:rPr>
        <w:t>CHAPITRE 7</w:t>
      </w:r>
    </w:p>
    <w:p>
      <w:pPr>
        <w:spacing w:after="320"/>
        <w:pBdr>
          <w:bottom w:val="single" w:sz="10" w:space="8" w:color="C62A26"/>
        </w:pBdr>
        <w:keepNext w:val="1"/>
      </w:pPr>
      <w:r>
        <w:rPr>
          <w:rFonts w:ascii="Bebas Neue" w:hAnsi="Bebas Neue" w:cs="Bebas Neue" w:eastAsia="Bebas Neue"/>
          <w:b w:val="0"/>
          <w:i w:val="0"/>
          <w:color w:val="1C1A17"/>
          <w:sz w:val="54"/>
          <w:spacing w:val="10"/>
        </w:rPr>
        <w:t>Choix techniques et justifications</w:t>
      </w:r>
    </w:p>
    <w:p>
      <w:pPr>
        <w:spacing w:before="0" w:after="80" w:line="312" w:lineRule="auto"/>
        <w:ind w:firstLine="397"/>
        <w:jc w:val="both"/>
      </w:pPr>
      <w:r>
        <w:rPr>
          <w:rFonts w:ascii="IBM Plex Serif" w:hAnsi="IBM Plex Serif" w:cs="IBM Plex Serif" w:eastAsia="IBM Plex Serif"/>
          <w:b w:val="0"/>
          <w:i w:val="0"/>
          <w:color w:val="1C1A17"/>
          <w:sz w:val="21"/>
        </w:rPr>
        <w:t>Ce chapitre justifie les décisions techniques une par une. Chacune est présentée avec l'alternative écartée et la raison concrète de l'écart, parce qu'un choix qui ne dit pas ce qu'il refuse n'est pas un choix.</w:t>
      </w:r>
    </w:p>
    <w:p>
      <w:pPr>
        <w:spacing w:before="320" w:after="100"/>
        <w:keepNext w:val="1"/>
      </w:pPr>
      <w:r>
        <w:rPr>
          <w:rFonts w:ascii="IBM Plex Mono" w:hAnsi="IBM Plex Mono" w:cs="IBM Plex Mono" w:eastAsia="IBM Plex Mono"/>
          <w:b/>
          <w:i w:val="0"/>
          <w:color w:val="C62A26"/>
          <w:sz w:val="26"/>
        </w:rPr>
        <w:t xml:space="preserve">7.1   </w:t>
      </w:r>
      <w:r>
        <w:rPr>
          <w:rFonts w:ascii="Bebas Neue" w:hAnsi="Bebas Neue" w:cs="Bebas Neue" w:eastAsia="Bebas Neue"/>
          <w:b w:val="0"/>
          <w:i w:val="0"/>
          <w:color w:val="1C1A17"/>
          <w:sz w:val="36"/>
          <w:spacing w:val="10"/>
        </w:rPr>
        <w:t>Monorepo et contrats partagés</w:t>
      </w:r>
    </w:p>
    <w:p>
      <w:pPr>
        <w:spacing w:before="0" w:after="80" w:line="312" w:lineRule="auto"/>
        <w:ind w:firstLine="397"/>
        <w:jc w:val="both"/>
      </w:pPr>
      <w:r>
        <w:rPr>
          <w:rFonts w:ascii="IBM Plex Serif" w:hAnsi="IBM Plex Serif" w:cs="IBM Plex Serif" w:eastAsia="IBM Plex Serif"/>
          <w:b w:val="0"/>
          <w:i w:val="0"/>
          <w:color w:val="1C1A17"/>
          <w:sz w:val="21"/>
        </w:rPr>
        <w:t>L'alternative naturelle était deux dépôts distincts, l'un pour le mobile, l'autre pour le serveur. C'est la structure la plus courante et la plus simple à mettre en place.</w:t>
      </w:r>
    </w:p>
    <w:p>
      <w:pPr>
        <w:spacing w:before="0" w:after="80" w:line="312" w:lineRule="auto"/>
        <w:ind w:firstLine="397"/>
        <w:jc w:val="both"/>
      </w:pPr>
      <w:r>
        <w:rPr>
          <w:rFonts w:ascii="IBM Plex Serif" w:hAnsi="IBM Plex Serif" w:cs="IBM Plex Serif" w:eastAsia="IBM Plex Serif"/>
          <w:b w:val="0"/>
          <w:i w:val="0"/>
          <w:color w:val="1C1A17"/>
          <w:sz w:val="21"/>
        </w:rPr>
        <w:t>Elle a été écartée à cause d'un problème précis : trois choses ne doivent jamais diverger entre les deux extrémités. La taxonomie des pannes, parce que le serveur valide la paire véhicule-panne que le mobile a proposée. La forme des réponses, en particulier le rang, parce que le mobile l'affiche sans le recalculer. Et le barème de fidélité, parce que le serveur crédite avec et que le mobile affiche avec — toute divergence entre les deux serait une divergence comptable.</w:t>
      </w:r>
    </w:p>
    <w:p>
      <w:pPr>
        <w:spacing w:before="0" w:after="80" w:line="312" w:lineRule="auto"/>
        <w:ind w:firstLine="397"/>
        <w:jc w:val="both"/>
      </w:pPr>
      <w:r>
        <w:rPr>
          <w:rFonts w:ascii="IBM Plex Serif" w:hAnsi="IBM Plex Serif" w:cs="IBM Plex Serif" w:eastAsia="IBM Plex Serif"/>
          <w:b w:val="0"/>
          <w:i w:val="0"/>
          <w:color w:val="1C1A17"/>
          <w:sz w:val="21"/>
        </w:rPr>
        <w:t>Dans deux dépôts séparés, ces trois choses existent en double. Elles restent synchronisées tant que quelqu'un y pense, et cessent de l'être un mardi après-midi. Le monorepo avec un paquet partagé transforme la divergence en erreur de compilation : elle est détectée avant même d'être commise.</w:t>
      </w:r>
    </w:p>
    <w:p>
      <w:pPr>
        <w:spacing w:before="0" w:after="80" w:line="312" w:lineRule="auto"/>
        <w:ind w:firstLine="397"/>
        <w:jc w:val="both"/>
      </w:pPr>
      <w:r>
        <w:rPr>
          <w:rFonts w:ascii="IBM Plex Serif" w:hAnsi="IBM Plex Serif" w:cs="IBM Plex Serif" w:eastAsia="IBM Plex Serif"/>
          <w:b w:val="0"/>
          <w:i w:val="0"/>
          <w:color w:val="1C1A17"/>
          <w:sz w:val="21"/>
        </w:rPr>
        <w:t>Le coût est réel et il faut le nommer : le paquet partagé doit être compilé avant les deux autres, ce qui ajoute une étape obligatoire à toute installation et une source de confusion pour quelqu'un qui découvre le projet.</w:t>
      </w:r>
    </w:p>
    <w:p>
      <w:pPr>
        <w:spacing w:before="320" w:after="100"/>
        <w:keepNext w:val="1"/>
      </w:pPr>
      <w:r>
        <w:rPr>
          <w:rFonts w:ascii="IBM Plex Mono" w:hAnsi="IBM Plex Mono" w:cs="IBM Plex Mono" w:eastAsia="IBM Plex Mono"/>
          <w:b/>
          <w:i w:val="0"/>
          <w:color w:val="C62A26"/>
          <w:sz w:val="26"/>
        </w:rPr>
        <w:t xml:space="preserve">7.2   </w:t>
      </w:r>
      <w:r>
        <w:rPr>
          <w:rFonts w:ascii="Bebas Neue" w:hAnsi="Bebas Neue" w:cs="Bebas Neue" w:eastAsia="Bebas Neue"/>
          <w:b w:val="0"/>
          <w:i w:val="0"/>
          <w:color w:val="1C1A17"/>
          <w:sz w:val="36"/>
          <w:spacing w:val="10"/>
        </w:rPr>
        <w:t>PostgreSQL avec extension géospatiale</w:t>
      </w:r>
    </w:p>
    <w:p>
      <w:pPr>
        <w:spacing w:before="0" w:after="80" w:line="312" w:lineRule="auto"/>
        <w:ind w:firstLine="397"/>
        <w:jc w:val="both"/>
      </w:pPr>
      <w:r>
        <w:rPr>
          <w:rFonts w:ascii="IBM Plex Serif" w:hAnsi="IBM Plex Serif" w:cs="IBM Plex Serif" w:eastAsia="IBM Plex Serif"/>
          <w:b w:val="0"/>
          <w:i w:val="0"/>
          <w:color w:val="1C1A17"/>
          <w:sz w:val="21"/>
        </w:rPr>
        <w:t>L'alternative était une base documentaire avec un index géospatial, qui aurait été un choix défendable et fréquent pour ce type de projet.</w:t>
      </w:r>
    </w:p>
    <w:p>
      <w:pPr>
        <w:spacing w:before="0" w:after="80" w:line="312" w:lineRule="auto"/>
        <w:ind w:firstLine="397"/>
        <w:jc w:val="both"/>
      </w:pPr>
      <w:r>
        <w:rPr>
          <w:rFonts w:ascii="IBM Plex Serif" w:hAnsi="IBM Plex Serif" w:cs="IBM Plex Serif" w:eastAsia="IBM Plex Serif"/>
          <w:b w:val="0"/>
          <w:i w:val="0"/>
          <w:color w:val="1C1A17"/>
          <w:sz w:val="21"/>
        </w:rPr>
        <w:t>Le facteur déterminant a été le besoin de contraintes. Les règles métier de la fidélité doivent être inscrites dans le schéma pour tenir dans la durée, et les contraintes de vérification, les index d'unicité partiels et les contraintes référentielles n'ont pas d'équivalent robuste dans une base documentaire. Le second facteur a été la qualité du support géospatial : la fonction de filtrage par distance combinée à l'index adéquat produit un plan d'exécution que l'on peut vérifier, mesurer et tester, ce qui a permis d'écrire un test automatisé sur le plan lui-même.</w:t>
      </w:r>
    </w:p>
    <w:p>
      <w:pPr>
        <w:spacing w:before="0" w:after="80" w:line="312" w:lineRule="auto"/>
        <w:ind w:firstLine="397"/>
        <w:jc w:val="both"/>
      </w:pPr>
      <w:r>
        <w:rPr>
          <w:rFonts w:ascii="IBM Plex Serif" w:hAnsi="IBM Plex Serif" w:cs="IBM Plex Serif" w:eastAsia="IBM Plex Serif"/>
          <w:b w:val="0"/>
          <w:i w:val="0"/>
          <w:color w:val="1C1A17"/>
          <w:sz w:val="21"/>
        </w:rPr>
        <w:t>Le type géographique a été préféré au type géométrique parce qu'il rend directement des mètres en tenant compte de la courbure terrestre, sans conversion ni choix de projection à justifier.</w:t>
      </w:r>
    </w:p>
    <w:p>
      <w:pPr>
        <w:spacing w:before="0" w:after="80" w:line="312" w:lineRule="auto"/>
        <w:ind w:firstLine="397"/>
        <w:jc w:val="both"/>
      </w:pPr>
      <w:r>
        <w:rPr>
          <w:rFonts w:ascii="IBM Plex Serif" w:hAnsi="IBM Plex Serif" w:cs="IBM Plex Serif" w:eastAsia="IBM Plex Serif"/>
          <w:b w:val="0"/>
          <w:i w:val="0"/>
          <w:color w:val="1C1A17"/>
          <w:sz w:val="21"/>
        </w:rPr>
        <w:t>L'hébergement retenu est une offre serverless qui supporte l'extension nativement et propose des branches de base, ce qui permet d'avoir une branche de développement et une branche de test distinctes de la production sans multiplier les instances.</w:t>
      </w:r>
    </w:p>
    <w:p>
      <w:pPr>
        <w:spacing w:before="320" w:after="100"/>
        <w:keepNext w:val="1"/>
      </w:pPr>
      <w:r>
        <w:rPr>
          <w:rFonts w:ascii="IBM Plex Mono" w:hAnsi="IBM Plex Mono" w:cs="IBM Plex Mono" w:eastAsia="IBM Plex Mono"/>
          <w:b/>
          <w:i w:val="0"/>
          <w:color w:val="C62A26"/>
          <w:sz w:val="26"/>
        </w:rPr>
        <w:t xml:space="preserve">7.3   </w:t>
      </w:r>
      <w:r>
        <w:rPr>
          <w:rFonts w:ascii="Bebas Neue" w:hAnsi="Bebas Neue" w:cs="Bebas Neue" w:eastAsia="Bebas Neue"/>
          <w:b w:val="0"/>
          <w:i w:val="0"/>
          <w:color w:val="1C1A17"/>
          <w:sz w:val="36"/>
          <w:spacing w:val="10"/>
        </w:rPr>
        <w:t>Constructeur de requêtes typé plutôt qu'ORM complet</w:t>
      </w:r>
    </w:p>
    <w:p>
      <w:pPr>
        <w:spacing w:before="0" w:after="80" w:line="312" w:lineRule="auto"/>
        <w:ind w:firstLine="397"/>
        <w:jc w:val="both"/>
      </w:pPr>
      <w:r>
        <w:rPr>
          <w:rFonts w:ascii="IBM Plex Serif" w:hAnsi="IBM Plex Serif" w:cs="IBM Plex Serif" w:eastAsia="IBM Plex Serif"/>
          <w:b w:val="0"/>
          <w:i w:val="0"/>
          <w:color w:val="1C1A17"/>
          <w:sz w:val="21"/>
        </w:rPr>
        <w:t>L'alternative était un ORM à part entière, avec génération de migrations et modèle déclaratif.</w:t>
      </w:r>
    </w:p>
    <w:p>
      <w:pPr>
        <w:spacing w:before="0" w:after="80" w:line="312" w:lineRule="auto"/>
        <w:ind w:firstLine="397"/>
        <w:jc w:val="both"/>
      </w:pPr>
      <w:r>
        <w:rPr>
          <w:rFonts w:ascii="IBM Plex Serif" w:hAnsi="IBM Plex Serif" w:cs="IBM Plex Serif" w:eastAsia="IBM Plex Serif"/>
          <w:b w:val="0"/>
          <w:i w:val="0"/>
          <w:color w:val="1C1A17"/>
          <w:sz w:val="21"/>
        </w:rPr>
        <w:t>Le problème est que la moitié du produit est géospatiale et que les ORM courants ne savent pas typer les colonnes géographiques. Le contournement habituel consiste à déclarer ces colonnes comme non supportées, à passer par des requêtes brutes pour tout ce qui touche à la géométrie, et à éditer à la main les migrations générées. Cela revient à abandonner la sûreté de typage exactement là où elle sert le plus, c'est-à-dire sur le cœur du produit.</w:t>
      </w:r>
    </w:p>
    <w:p>
      <w:pPr>
        <w:spacing w:before="200" w:after="80"/>
        <w:keepNext w:val="1"/>
      </w:pPr>
      <w:r>
        <w:rPr>
          <w:rFonts w:ascii="IBM Plex Sans" w:hAnsi="IBM Plex Sans" w:cs="IBM Plex Sans" w:eastAsia="IBM Plex Sans"/>
          <w:b/>
          <w:i w:val="0"/>
          <w:color w:val="C62A26"/>
          <w:sz w:val="18"/>
        </w:rPr>
        <w:t xml:space="preserve">Tableau 27 — </w:t>
      </w:r>
      <w:r>
        <w:rPr>
          <w:rFonts w:ascii="IBM Plex Sans" w:hAnsi="IBM Plex Sans" w:cs="IBM Plex Sans" w:eastAsia="IBM Plex Sans"/>
          <w:b w:val="0"/>
          <w:i w:val="0"/>
          <w:color w:val="55514A"/>
          <w:sz w:val="18"/>
        </w:rPr>
        <w:t>Comparaison sur la partie géospatiale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Critère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ORM avec colonnes non supportées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Constructeur de requêtes typé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Requête géospatiale</w:t>
            </w:r>
          </w:p>
        </w:tc>
        <w:tc>
          <w:tcPr>
            <w:tcW w:type="dxa" w:w="3099"/>
          </w:tcPr>
          <w:p>
            <w:pPr>
              <w:spacing w:before="60" w:after="60" w:line="269" w:lineRule="auto"/>
            </w:pPr>
            <w:r/>
            <w:r>
              <w:rPr>
                <w:rFonts w:ascii="IBM Plex Serif" w:hAnsi="IBM Plex Serif" w:cs="IBM Plex Serif" w:eastAsia="IBM Plex Serif"/>
                <w:b w:val="0"/>
                <w:i w:val="0"/>
                <w:color w:val="1C1A17"/>
                <w:sz w:val="18"/>
              </w:rPr>
              <w:t>Requête brute, résultat non typé</w:t>
            </w:r>
          </w:p>
        </w:tc>
        <w:tc>
          <w:tcPr>
            <w:tcW w:type="dxa" w:w="3099"/>
          </w:tcPr>
          <w:p>
            <w:pPr>
              <w:spacing w:before="60" w:after="60" w:line="269" w:lineRule="auto"/>
            </w:pPr>
            <w:r/>
            <w:r>
              <w:rPr>
                <w:rFonts w:ascii="IBM Plex Serif" w:hAnsi="IBM Plex Serif" w:cs="IBM Plex Serif" w:eastAsia="IBM Plex Serif"/>
                <w:b w:val="0"/>
                <w:i w:val="0"/>
                <w:color w:val="1C1A17"/>
                <w:sz w:val="18"/>
              </w:rPr>
              <w:t>Fragment SQL, résultat typé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Migrations</w:t>
            </w:r>
          </w:p>
        </w:tc>
        <w:tc>
          <w:tcPr>
            <w:tcW w:type="dxa" w:w="3099"/>
          </w:tcPr>
          <w:p>
            <w:pPr>
              <w:spacing w:before="60" w:after="60" w:line="269" w:lineRule="auto"/>
            </w:pPr>
            <w:r/>
            <w:r>
              <w:rPr>
                <w:rFonts w:ascii="IBM Plex Serif" w:hAnsi="IBM Plex Serif" w:cs="IBM Plex Serif" w:eastAsia="IBM Plex Serif"/>
                <w:b w:val="0"/>
                <w:i w:val="0"/>
                <w:color w:val="1C1A17"/>
                <w:sz w:val="18"/>
              </w:rPr>
              <w:t>Générées puis éditées à la main</w:t>
            </w:r>
          </w:p>
        </w:tc>
        <w:tc>
          <w:tcPr>
            <w:tcW w:type="dxa" w:w="3099"/>
          </w:tcPr>
          <w:p>
            <w:pPr>
              <w:spacing w:before="60" w:after="60" w:line="269" w:lineRule="auto"/>
            </w:pPr>
            <w:r/>
            <w:r>
              <w:rPr>
                <w:rFonts w:ascii="IBM Plex Serif" w:hAnsi="IBM Plex Serif" w:cs="IBM Plex Serif" w:eastAsia="IBM Plex Serif"/>
                <w:b w:val="0"/>
                <w:i w:val="0"/>
                <w:color w:val="1C1A17"/>
                <w:sz w:val="18"/>
              </w:rPr>
              <w:t>Fichiers SQL écrits directement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Dérive entre schéma et code</w:t>
            </w:r>
          </w:p>
        </w:tc>
        <w:tc>
          <w:tcPr>
            <w:tcW w:type="dxa" w:w="3099"/>
          </w:tcPr>
          <w:p>
            <w:pPr>
              <w:spacing w:before="60" w:after="60" w:line="269" w:lineRule="auto"/>
            </w:pPr>
            <w:r/>
            <w:r>
              <w:rPr>
                <w:rFonts w:ascii="IBM Plex Serif" w:hAnsi="IBM Plex Serif" w:cs="IBM Plex Serif" w:eastAsia="IBM Plex Serif"/>
                <w:b w:val="0"/>
                <w:i w:val="0"/>
                <w:color w:val="1C1A17"/>
                <w:sz w:val="18"/>
              </w:rPr>
              <w:t>Invisible jusqu'à l'exécution</w:t>
            </w:r>
          </w:p>
        </w:tc>
        <w:tc>
          <w:tcPr>
            <w:tcW w:type="dxa" w:w="3099"/>
          </w:tcPr>
          <w:p>
            <w:pPr>
              <w:spacing w:before="60" w:after="60" w:line="269" w:lineRule="auto"/>
            </w:pPr>
            <w:r/>
            <w:r>
              <w:rPr>
                <w:rFonts w:ascii="IBM Plex Serif" w:hAnsi="IBM Plex Serif" w:cs="IBM Plex Serif" w:eastAsia="IBM Plex Serif"/>
                <w:b w:val="0"/>
                <w:i w:val="0"/>
                <w:color w:val="1C1A17"/>
                <w:sz w:val="18"/>
              </w:rPr>
              <w:t>Erreur de compilation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Lisibilité du SQL produit</w:t>
            </w:r>
          </w:p>
        </w:tc>
        <w:tc>
          <w:tcPr>
            <w:tcW w:type="dxa" w:w="3099"/>
          </w:tcPr>
          <w:p>
            <w:pPr>
              <w:spacing w:before="60" w:after="60" w:line="269" w:lineRule="auto"/>
            </w:pPr>
            <w:r/>
            <w:r>
              <w:rPr>
                <w:rFonts w:ascii="IBM Plex Serif" w:hAnsi="IBM Plex Serif" w:cs="IBM Plex Serif" w:eastAsia="IBM Plex Serif"/>
                <w:b w:val="0"/>
                <w:i w:val="0"/>
                <w:color w:val="1C1A17"/>
                <w:sz w:val="18"/>
              </w:rPr>
              <w:t>Indirecte</w:t>
            </w:r>
          </w:p>
        </w:tc>
        <w:tc>
          <w:tcPr>
            <w:tcW w:type="dxa" w:w="3099"/>
          </w:tcPr>
          <w:p>
            <w:pPr>
              <w:spacing w:before="60" w:after="60" w:line="269" w:lineRule="auto"/>
            </w:pPr>
            <w:r/>
            <w:r>
              <w:rPr>
                <w:rFonts w:ascii="IBM Plex Serif" w:hAnsi="IBM Plex Serif" w:cs="IBM Plex Serif" w:eastAsia="IBM Plex Serif"/>
                <w:b w:val="0"/>
                <w:i w:val="0"/>
                <w:color w:val="1C1A17"/>
                <w:sz w:val="18"/>
              </w:rPr>
              <w:t>Directe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Courbe d'apprentissage</w:t>
            </w:r>
          </w:p>
        </w:tc>
        <w:tc>
          <w:tcPr>
            <w:tcW w:type="dxa" w:w="3099"/>
          </w:tcPr>
          <w:p>
            <w:pPr>
              <w:spacing w:before="60" w:after="60" w:line="269" w:lineRule="auto"/>
            </w:pPr>
            <w:r/>
            <w:r>
              <w:rPr>
                <w:rFonts w:ascii="IBM Plex Serif" w:hAnsi="IBM Plex Serif" w:cs="IBM Plex Serif" w:eastAsia="IBM Plex Serif"/>
                <w:b w:val="0"/>
                <w:i w:val="0"/>
                <w:color w:val="1C1A17"/>
                <w:sz w:val="18"/>
              </w:rPr>
              <w:t>Plus douce</w:t>
            </w:r>
          </w:p>
        </w:tc>
        <w:tc>
          <w:tcPr>
            <w:tcW w:type="dxa" w:w="3099"/>
          </w:tcPr>
          <w:p>
            <w:pPr>
              <w:spacing w:before="60" w:after="60" w:line="269" w:lineRule="auto"/>
            </w:pPr>
            <w:r/>
            <w:r>
              <w:rPr>
                <w:rFonts w:ascii="IBM Plex Serif" w:hAnsi="IBM Plex Serif" w:cs="IBM Plex Serif" w:eastAsia="IBM Plex Serif"/>
                <w:b w:val="0"/>
                <w:i w:val="0"/>
                <w:color w:val="1C1A17"/>
                <w:sz w:val="18"/>
              </w:rPr>
              <w:t>Plus raide, SQL requis</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Le choix a été accompagné d'une précaution volontairement désagréable à l'usage : le type qui représente un point géographique n'accepte, en écriture, qu'un fragment SQL produit par une fonction dédiée, et rend en lecture une chaîne binaire inexploitable. On est donc obligé de passer par la fonction de construction et de projeter explicitement les coordonnées à la lecture. C'est pénible, et c'est précisément le but : on ne peut pas se tromper par distraction.</w:t>
      </w:r>
    </w:p>
    <w:p>
      <w:pPr>
        <w:spacing w:before="320" w:after="100"/>
        <w:keepNext w:val="1"/>
      </w:pPr>
      <w:r>
        <w:rPr>
          <w:rFonts w:ascii="IBM Plex Mono" w:hAnsi="IBM Plex Mono" w:cs="IBM Plex Mono" w:eastAsia="IBM Plex Mono"/>
          <w:b/>
          <w:i w:val="0"/>
          <w:color w:val="C62A26"/>
          <w:sz w:val="26"/>
        </w:rPr>
        <w:t xml:space="preserve">7.4   </w:t>
      </w:r>
      <w:r>
        <w:rPr>
          <w:rFonts w:ascii="Bebas Neue" w:hAnsi="Bebas Neue" w:cs="Bebas Neue" w:eastAsia="Bebas Neue"/>
          <w:b w:val="0"/>
          <w:i w:val="0"/>
          <w:color w:val="1C1A17"/>
          <w:sz w:val="36"/>
          <w:spacing w:val="10"/>
        </w:rPr>
        <w:t>Rendu cartographique</w:t>
      </w:r>
    </w:p>
    <w:p>
      <w:pPr>
        <w:spacing w:before="0" w:after="80" w:line="312" w:lineRule="auto"/>
        <w:ind w:firstLine="397"/>
        <w:jc w:val="both"/>
      </w:pPr>
      <w:r>
        <w:rPr>
          <w:rFonts w:ascii="IBM Plex Serif" w:hAnsi="IBM Plex Serif" w:cs="IBM Plex Serif" w:eastAsia="IBM Plex Serif"/>
          <w:b w:val="0"/>
          <w:i w:val="0"/>
          <w:color w:val="1C1A17"/>
          <w:sz w:val="21"/>
        </w:rPr>
        <w:t>Trois options ont été examinées : la solution cartographique de Google, celle d'Apple par l'intermédiaire du composant natif de la plateforme, et une bibliothèque de rendu vectoriel libre alimentée par un fournisseur de tuiles.</w:t>
      </w:r>
    </w:p>
    <w:p>
      <w:pPr>
        <w:spacing w:before="0" w:after="80" w:line="312" w:lineRule="auto"/>
        <w:ind w:firstLine="397"/>
        <w:jc w:val="both"/>
      </w:pPr>
      <w:r>
        <w:rPr>
          <w:rFonts w:ascii="IBM Plex Serif" w:hAnsi="IBM Plex Serif" w:cs="IBM Plex Serif" w:eastAsia="IBM Plex Serif"/>
          <w:b w:val="0"/>
          <w:i w:val="0"/>
          <w:color w:val="1C1A17"/>
          <w:sz w:val="21"/>
        </w:rPr>
        <w:t>Le critère qui a tranché est la stylisation. L'identité visuelle du produit repose sur une palette chaude précise, et la carte occupe la moitié de l'écran principal. Or la solution de Google n'expose son style qu'sur une seule des deux plateformes, et la solution d'Apple ne se style pratiquement pas. On obtiendrait deux applications qui ne se ressemblent pas selon le téléphone, ce qui est intenable quand l'identité visuelle constitue le principal facteur de différenciation. La bibliothèque de rendu vectoriel libre produit le même style au pixel près sur les deux plateformes.</w:t>
      </w:r>
    </w:p>
    <w:p>
      <w:pPr>
        <w:spacing w:before="0" w:after="80" w:line="312" w:lineRule="auto"/>
        <w:ind w:firstLine="397"/>
        <w:jc w:val="both"/>
      </w:pPr>
      <w:r>
        <w:rPr>
          <w:rFonts w:ascii="IBM Plex Serif" w:hAnsi="IBM Plex Serif" w:cs="IBM Plex Serif" w:eastAsia="IBM Plex Serif"/>
          <w:b w:val="0"/>
          <w:i w:val="0"/>
          <w:color w:val="1C1A17"/>
          <w:sz w:val="21"/>
        </w:rPr>
        <w:t>Le second critère est la donnée routière. Le fond cartographique libre est compétitif à Yaoundé grâce au travail de cartographie humanitaire, et il est meilleur que les fonds commerciaux sur les voies non bitumées — qui sont exactement celles où l'on tombe en panne. Les fonds commerciaux gardent l'avantage sur les points d'intérêt marchands, c'est-à-dire précisément la donnée que GeoCras produit lui-même et n'a donc pas à emprunter.</w:t>
      </w:r>
    </w:p>
    <w:p>
      <w:pPr>
        <w:spacing w:before="0" w:after="80" w:line="312" w:lineRule="auto"/>
        <w:ind w:firstLine="397"/>
        <w:jc w:val="both"/>
      </w:pPr>
      <w:r>
        <w:rPr>
          <w:rFonts w:ascii="IBM Plex Serif" w:hAnsi="IBM Plex Serif" w:cs="IBM Plex Serif" w:eastAsia="IBM Plex Serif"/>
          <w:b w:val="0"/>
          <w:i w:val="0"/>
          <w:color w:val="1C1A17"/>
          <w:sz w:val="21"/>
        </w:rPr>
        <w:t>Le troisième critère est le coût. Le fournisseur retenu facture à l'usage, avec un palier gratuit généreux, là où son concurrent principal facture à l'utilisateur actif mensuel — un modèle qui pénalise une application dont chaque utilisateur ouvre la carte rarement mais dont la base est large. Une porte de sortie existe si le coût devient un problème : l'auto-hébergement des tuiles ne change qu'une adresse.</w:t>
      </w:r>
    </w:p>
    <w:p>
      <w:pPr>
        <w:spacing w:before="0" w:after="80" w:line="312" w:lineRule="auto"/>
        <w:ind w:firstLine="397"/>
        <w:jc w:val="both"/>
      </w:pPr>
      <w:r>
        <w:rPr>
          <w:rFonts w:ascii="IBM Plex Serif" w:hAnsi="IBM Plex Serif" w:cs="IBM Plex Serif" w:eastAsia="IBM Plex Serif"/>
          <w:b w:val="0"/>
          <w:i w:val="0"/>
          <w:color w:val="1C1A17"/>
          <w:sz w:val="21"/>
        </w:rPr>
        <w:t>Le risque assumé est que le support de la nouvelle architecture de la plateforme mobile n'est pas confirmé pour cette bibliothèque. C'est le troisième risque du projet, et deux issues de secours sont documentées à l'avance : désactiver la nouvelle architecture, ce que la version courante du kit de développement autorise encore et les suivantes non — c'est donc une dette avec une date de péremption —, ou se replier sur le composant natif en acceptant le compromis de style sur une des deux plateformes.</w:t>
      </w:r>
    </w:p>
    <w:p>
      <w:pPr>
        <w:spacing w:before="320" w:after="100"/>
        <w:keepNext w:val="1"/>
      </w:pPr>
      <w:r>
        <w:rPr>
          <w:rFonts w:ascii="IBM Plex Mono" w:hAnsi="IBM Plex Mono" w:cs="IBM Plex Mono" w:eastAsia="IBM Plex Mono"/>
          <w:b/>
          <w:i w:val="0"/>
          <w:color w:val="C62A26"/>
          <w:sz w:val="26"/>
        </w:rPr>
        <w:t xml:space="preserve">7.5   </w:t>
      </w:r>
      <w:r>
        <w:rPr>
          <w:rFonts w:ascii="Bebas Neue" w:hAnsi="Bebas Neue" w:cs="Bebas Neue" w:eastAsia="Bebas Neue"/>
          <w:b w:val="0"/>
          <w:i w:val="0"/>
          <w:color w:val="1C1A17"/>
          <w:sz w:val="36"/>
          <w:spacing w:val="10"/>
        </w:rPr>
        <w:t>Canal temps réel</w:t>
      </w:r>
    </w:p>
    <w:p>
      <w:pPr>
        <w:spacing w:before="0" w:after="80" w:line="312" w:lineRule="auto"/>
        <w:ind w:firstLine="397"/>
        <w:jc w:val="both"/>
      </w:pPr>
      <w:r>
        <w:rPr>
          <w:rFonts w:ascii="IBM Plex Serif" w:hAnsi="IBM Plex Serif" w:cs="IBM Plex Serif" w:eastAsia="IBM Plex Serif"/>
          <w:b w:val="0"/>
          <w:i w:val="0"/>
          <w:color w:val="1C1A17"/>
          <w:sz w:val="21"/>
        </w:rPr>
        <w:t>Trois options : une interrogation périodique, un flux unidirectionnel envoyé par le serveur, ou une bibliothèque de socket bidirectionnelle.</w:t>
      </w:r>
    </w:p>
    <w:p>
      <w:pPr>
        <w:spacing w:before="0" w:after="80" w:line="312" w:lineRule="auto"/>
        <w:ind w:firstLine="397"/>
        <w:jc w:val="both"/>
      </w:pPr>
      <w:r>
        <w:rPr>
          <w:rFonts w:ascii="IBM Plex Serif" w:hAnsi="IBM Plex Serif" w:cs="IBM Plex Serif" w:eastAsia="IBM Plex Serif"/>
          <w:b w:val="0"/>
          <w:i w:val="0"/>
          <w:color w:val="1C1A17"/>
          <w:sz w:val="21"/>
        </w:rPr>
        <w:t>L'interrogation périodique a été écartée comme mode principal : à quinze secondes d'intervalle, un véhicule en mouvement devient inutilisable à suivre. Elle est en revanche conservée comme mode de repli, ce qui est un usage entièrement différent.</w:t>
      </w:r>
    </w:p>
    <w:p>
      <w:pPr>
        <w:spacing w:before="0" w:after="80" w:line="312" w:lineRule="auto"/>
        <w:ind w:firstLine="397"/>
        <w:jc w:val="both"/>
      </w:pPr>
      <w:r>
        <w:rPr>
          <w:rFonts w:ascii="IBM Plex Serif" w:hAnsi="IBM Plex Serif" w:cs="IBM Plex Serif" w:eastAsia="IBM Plex Serif"/>
          <w:b w:val="0"/>
          <w:i w:val="0"/>
          <w:color w:val="1C1A17"/>
          <w:sz w:val="21"/>
        </w:rPr>
        <w:t>Le flux unidirectionnel a été écarté parce qu'il ne va que dans un sens, alors que le client doit émettre sa position. Il aurait fallu le doubler d'une voie montante, ce qui revient à réimplémenter à la main ce que la troisième option fournit.</w:t>
      </w:r>
    </w:p>
    <w:p>
      <w:pPr>
        <w:spacing w:before="0" w:after="80" w:line="312" w:lineRule="auto"/>
        <w:ind w:firstLine="397"/>
        <w:jc w:val="both"/>
      </w:pPr>
      <w:r>
        <w:rPr>
          <w:rFonts w:ascii="IBM Plex Serif" w:hAnsi="IBM Plex Serif" w:cs="IBM Plex Serif" w:eastAsia="IBM Plex Serif"/>
          <w:b w:val="0"/>
          <w:i w:val="0"/>
          <w:color w:val="1C1A17"/>
          <w:sz w:val="21"/>
        </w:rPr>
        <w:t>Le socket brut a été écarté pour une raison qui tient entièrement au contexte : il aurait fallu réécrire la logique de reconnexion, et surtout renoncer au repli automatique sur une technique de transport plus tolérante quand le socket ne s'établit pas. Or c'est exactement ce repli qui sauve une session sur un réseau qui coupe. La bibliothèque retenue le fournit gratuitement.</w:t>
      </w:r>
    </w:p>
    <w:p>
      <w:pPr>
        <w:spacing w:before="320" w:after="100"/>
        <w:keepNext w:val="1"/>
      </w:pPr>
      <w:r>
        <w:rPr>
          <w:rFonts w:ascii="IBM Plex Mono" w:hAnsi="IBM Plex Mono" w:cs="IBM Plex Mono" w:eastAsia="IBM Plex Mono"/>
          <w:b/>
          <w:i w:val="0"/>
          <w:color w:val="C62A26"/>
          <w:sz w:val="26"/>
        </w:rPr>
        <w:t xml:space="preserve">7.6   </w:t>
      </w:r>
      <w:r>
        <w:rPr>
          <w:rFonts w:ascii="Bebas Neue" w:hAnsi="Bebas Neue" w:cs="Bebas Neue" w:eastAsia="Bebas Neue"/>
          <w:b w:val="0"/>
          <w:i w:val="0"/>
          <w:color w:val="1C1A17"/>
          <w:sz w:val="36"/>
          <w:spacing w:val="10"/>
        </w:rPr>
        <w:t>React Native et Expo</w:t>
      </w:r>
    </w:p>
    <w:p>
      <w:pPr>
        <w:spacing w:before="0" w:after="80" w:line="312" w:lineRule="auto"/>
        <w:ind w:firstLine="397"/>
        <w:jc w:val="both"/>
      </w:pPr>
      <w:r>
        <w:rPr>
          <w:rFonts w:ascii="IBM Plex Serif" w:hAnsi="IBM Plex Serif" w:cs="IBM Plex Serif" w:eastAsia="IBM Plex Serif"/>
          <w:b w:val="0"/>
          <w:i w:val="0"/>
          <w:color w:val="1C1A17"/>
          <w:sz w:val="21"/>
        </w:rPr>
        <w:t>L'alternative était un développement natif pour chaque plateforme.</w:t>
      </w:r>
    </w:p>
    <w:p>
      <w:pPr>
        <w:spacing w:before="0" w:after="80" w:line="312" w:lineRule="auto"/>
        <w:ind w:firstLine="397"/>
        <w:jc w:val="both"/>
      </w:pPr>
      <w:r>
        <w:rPr>
          <w:rFonts w:ascii="IBM Plex Serif" w:hAnsi="IBM Plex Serif" w:cs="IBM Plex Serif" w:eastAsia="IBM Plex Serif"/>
          <w:b w:val="0"/>
          <w:i w:val="0"/>
          <w:color w:val="1C1A17"/>
          <w:sz w:val="21"/>
        </w:rPr>
        <w:t>Le facteur décisif est la cohérence de la stack. L'ensemble du projet est en TypeScript, du contrat partagé au serveur en passant par les écrans ; un développement natif aurait imposé deux langages supplémentaires et, surtout, aurait rendu impossible le partage des contrats. Le second facteur est le coût de développement, qui n'est pas un argument secondaire pour un projet mené par une équipe réduite.</w:t>
      </w:r>
    </w:p>
    <w:p>
      <w:pPr>
        <w:spacing w:before="0" w:after="80" w:line="312" w:lineRule="auto"/>
        <w:ind w:firstLine="397"/>
        <w:jc w:val="both"/>
      </w:pPr>
      <w:r>
        <w:rPr>
          <w:rFonts w:ascii="IBM Plex Serif" w:hAnsi="IBM Plex Serif" w:cs="IBM Plex Serif" w:eastAsia="IBM Plex Serif"/>
          <w:b w:val="0"/>
          <w:i w:val="0"/>
          <w:color w:val="1C1A17"/>
          <w:sz w:val="21"/>
        </w:rPr>
        <w:t>Le choix d'Expo par-dessus React Native ajoute l'accès aux capteurs, aux polices, au stockage sécurisé et aux notifications sans configuration native, ainsi qu'un service de construction distante qui permet de produire une version installable Android depuis n'importe quel poste, sans chaîne de compilation locale ni machine Apple. Sur un projet développé depuis Yaoundé, ce dernier point n'est pas anecdotique.</w:t>
      </w:r>
    </w:p>
    <w:p>
      <w:pPr>
        <w:spacing w:before="320" w:after="100"/>
        <w:keepNext w:val="1"/>
      </w:pPr>
      <w:r>
        <w:rPr>
          <w:rFonts w:ascii="IBM Plex Mono" w:hAnsi="IBM Plex Mono" w:cs="IBM Plex Mono" w:eastAsia="IBM Plex Mono"/>
          <w:b/>
          <w:i w:val="0"/>
          <w:color w:val="C62A26"/>
          <w:sz w:val="26"/>
        </w:rPr>
        <w:t xml:space="preserve">7.7   </w:t>
      </w:r>
      <w:r>
        <w:rPr>
          <w:rFonts w:ascii="Bebas Neue" w:hAnsi="Bebas Neue" w:cs="Bebas Neue" w:eastAsia="Bebas Neue"/>
          <w:b w:val="0"/>
          <w:i w:val="0"/>
          <w:color w:val="1C1A17"/>
          <w:sz w:val="36"/>
          <w:spacing w:val="10"/>
        </w:rPr>
        <w:t>Répartition de l'état côté mobile</w:t>
      </w:r>
    </w:p>
    <w:p>
      <w:pPr>
        <w:spacing w:before="0" w:after="80" w:line="312" w:lineRule="auto"/>
        <w:ind w:firstLine="397"/>
        <w:jc w:val="both"/>
      </w:pPr>
      <w:r>
        <w:rPr>
          <w:rFonts w:ascii="IBM Plex Serif" w:hAnsi="IBM Plex Serif" w:cs="IBM Plex Serif" w:eastAsia="IBM Plex Serif"/>
          <w:b w:val="0"/>
          <w:i w:val="0"/>
          <w:color w:val="1C1A17"/>
          <w:sz w:val="21"/>
        </w:rPr>
        <w:t>Le choix de l'outil est déterminé par la fréquence de changement de la donnée, et non par sa nature.</w:t>
      </w:r>
    </w:p>
    <w:p>
      <w:pPr>
        <w:spacing w:before="200" w:after="80"/>
        <w:keepNext w:val="1"/>
      </w:pPr>
      <w:r>
        <w:rPr>
          <w:rFonts w:ascii="IBM Plex Sans" w:hAnsi="IBM Plex Sans" w:cs="IBM Plex Sans" w:eastAsia="IBM Plex Sans"/>
          <w:b/>
          <w:i w:val="0"/>
          <w:color w:val="C62A26"/>
          <w:sz w:val="18"/>
        </w:rPr>
        <w:t xml:space="preserve">Tableau 28 — </w:t>
      </w:r>
      <w:r>
        <w:rPr>
          <w:rFonts w:ascii="IBM Plex Sans" w:hAnsi="IBM Plex Sans" w:cs="IBM Plex Sans" w:eastAsia="IBM Plex Sans"/>
          <w:b w:val="0"/>
          <w:i w:val="0"/>
          <w:color w:val="55514A"/>
          <w:sz w:val="18"/>
        </w:rPr>
        <w:t>Répartition de l'état applicatif mobile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Nature de la donnée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Outil retenu</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Raison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Cache des réponses serveur</w:t>
            </w:r>
          </w:p>
        </w:tc>
        <w:tc>
          <w:tcPr>
            <w:tcW w:type="dxa" w:w="3099"/>
          </w:tcPr>
          <w:p>
            <w:pPr>
              <w:spacing w:before="60" w:after="60" w:line="269" w:lineRule="auto"/>
            </w:pPr>
            <w:r/>
            <w:r>
              <w:rPr>
                <w:rFonts w:ascii="IBM Plex Serif" w:hAnsi="IBM Plex Serif" w:cs="IBM Plex Serif" w:eastAsia="IBM Plex Serif"/>
                <w:b w:val="0"/>
                <w:i w:val="0"/>
                <w:color w:val="1C1A17"/>
                <w:sz w:val="18"/>
              </w:rPr>
              <w:t>Bibliothèque de cache de requêtes</w:t>
            </w:r>
          </w:p>
        </w:tc>
        <w:tc>
          <w:tcPr>
            <w:tcW w:type="dxa" w:w="3099"/>
          </w:tcPr>
          <w:p>
            <w:pPr>
              <w:spacing w:before="60" w:after="60" w:line="269" w:lineRule="auto"/>
            </w:pPr>
            <w:r/>
            <w:r>
              <w:rPr>
                <w:rFonts w:ascii="IBM Plex Serif" w:hAnsi="IBM Plex Serif" w:cs="IBM Plex Serif" w:eastAsia="IBM Plex Serif"/>
                <w:b w:val="0"/>
                <w:i w:val="0"/>
                <w:color w:val="1C1A17"/>
                <w:sz w:val="18"/>
              </w:rPr>
              <w:t>Réessai, durée de fraîcheur et persistance hors ligne — décisifs sur réseau irrégulier</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Session et jetons</w:t>
            </w:r>
          </w:p>
        </w:tc>
        <w:tc>
          <w:tcPr>
            <w:tcW w:type="dxa" w:w="3099"/>
          </w:tcPr>
          <w:p>
            <w:pPr>
              <w:spacing w:before="60" w:after="60" w:line="269" w:lineRule="auto"/>
            </w:pPr>
            <w:r/>
            <w:r>
              <w:rPr>
                <w:rFonts w:ascii="IBM Plex Serif" w:hAnsi="IBM Plex Serif" w:cs="IBM Plex Serif" w:eastAsia="IBM Plex Serif"/>
                <w:b w:val="0"/>
                <w:i w:val="0"/>
                <w:color w:val="1C1A17"/>
                <w:sz w:val="18"/>
              </w:rPr>
              <w:t>Contexte et stockage sécurisé</w:t>
            </w:r>
          </w:p>
        </w:tc>
        <w:tc>
          <w:tcPr>
            <w:tcW w:type="dxa" w:w="3099"/>
          </w:tcPr>
          <w:p>
            <w:pPr>
              <w:spacing w:before="60" w:after="60" w:line="269" w:lineRule="auto"/>
            </w:pPr>
            <w:r/>
            <w:r>
              <w:rPr>
                <w:rFonts w:ascii="IBM Plex Serif" w:hAnsi="IBM Plex Serif" w:cs="IBM Plex Serif" w:eastAsia="IBM Plex Serif"/>
                <w:b w:val="0"/>
                <w:i w:val="0"/>
                <w:color w:val="1C1A17"/>
                <w:sz w:val="18"/>
              </w:rPr>
              <w:t>Petit, rare, doit survivre au redémarrage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Suivi en temps réel</w:t>
            </w:r>
          </w:p>
        </w:tc>
        <w:tc>
          <w:tcPr>
            <w:tcW w:type="dxa" w:w="3099"/>
          </w:tcPr>
          <w:p>
            <w:pPr>
              <w:spacing w:before="60" w:after="60" w:line="269" w:lineRule="auto"/>
            </w:pPr>
            <w:r/>
            <w:r>
              <w:rPr>
                <w:rFonts w:ascii="IBM Plex Serif" w:hAnsi="IBM Plex Serif" w:cs="IBM Plex Serif" w:eastAsia="IBM Plex Serif"/>
                <w:b w:val="0"/>
                <w:i w:val="0"/>
                <w:color w:val="1C1A17"/>
                <w:sz w:val="18"/>
              </w:rPr>
              <w:t>Magasin d'état léger</w:t>
            </w:r>
          </w:p>
        </w:tc>
        <w:tc>
          <w:tcPr>
            <w:tcW w:type="dxa" w:w="3099"/>
          </w:tcPr>
          <w:p>
            <w:pPr>
              <w:spacing w:before="60" w:after="60" w:line="269" w:lineRule="auto"/>
            </w:pPr>
            <w:r/>
            <w:r>
              <w:rPr>
                <w:rFonts w:ascii="IBM Plex Serif" w:hAnsi="IBM Plex Serif" w:cs="IBM Plex Serif" w:eastAsia="IBM Plex Serif"/>
                <w:b w:val="0"/>
                <w:i w:val="0"/>
                <w:color w:val="1C1A17"/>
                <w:sz w:val="18"/>
              </w:rPr>
              <w:t>Change trois à cinq fois par seconde ; dans le cache de requêtes, on invaliderait en boucle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Mode conduite</w:t>
            </w:r>
          </w:p>
        </w:tc>
        <w:tc>
          <w:tcPr>
            <w:tcW w:type="dxa" w:w="3099"/>
          </w:tcPr>
          <w:p>
            <w:pPr>
              <w:spacing w:before="60" w:after="60" w:line="269" w:lineRule="auto"/>
            </w:pPr>
            <w:r/>
            <w:r>
              <w:rPr>
                <w:rFonts w:ascii="IBM Plex Serif" w:hAnsi="IBM Plex Serif" w:cs="IBM Plex Serif" w:eastAsia="IBM Plex Serif"/>
                <w:b w:val="0"/>
                <w:i w:val="0"/>
                <w:color w:val="1C1A17"/>
                <w:sz w:val="18"/>
              </w:rPr>
              <w:t>Magasin léger et moteur hors du cycle de rendu</w:t>
            </w:r>
          </w:p>
        </w:tc>
        <w:tc>
          <w:tcPr>
            <w:tcW w:type="dxa" w:w="3099"/>
          </w:tcPr>
          <w:p>
            <w:pPr>
              <w:spacing w:before="60" w:after="60" w:line="269" w:lineRule="auto"/>
            </w:pPr>
            <w:r/>
            <w:r>
              <w:rPr>
                <w:rFonts w:ascii="IBM Plex Serif" w:hAnsi="IBM Plex Serif" w:cs="IBM Plex Serif" w:eastAsia="IBM Plex Serif"/>
                <w:b w:val="0"/>
                <w:i w:val="0"/>
                <w:color w:val="1C1A17"/>
                <w:sz w:val="18"/>
              </w:rPr>
              <w:t>La source d'alertes est un émetteur pur, lu par sélecteurs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Préférences</w:t>
            </w:r>
          </w:p>
        </w:tc>
        <w:tc>
          <w:tcPr>
            <w:tcW w:type="dxa" w:w="3099"/>
          </w:tcPr>
          <w:p>
            <w:pPr>
              <w:spacing w:before="60" w:after="60" w:line="269" w:lineRule="auto"/>
            </w:pPr>
            <w:r/>
            <w:r>
              <w:rPr>
                <w:rFonts w:ascii="IBM Plex Serif" w:hAnsi="IBM Plex Serif" w:cs="IBM Plex Serif" w:eastAsia="IBM Plex Serif"/>
                <w:b w:val="0"/>
                <w:i w:val="0"/>
                <w:color w:val="1C1A17"/>
                <w:sz w:val="18"/>
              </w:rPr>
              <w:t>Contexte et stockage asynchrone</w:t>
            </w:r>
          </w:p>
        </w:tc>
        <w:tc>
          <w:tcPr>
            <w:tcW w:type="dxa" w:w="3099"/>
          </w:tcPr>
          <w:p>
            <w:pPr>
              <w:spacing w:before="60" w:after="60" w:line="269" w:lineRule="auto"/>
            </w:pPr>
            <w:r/>
            <w:r>
              <w:rPr>
                <w:rFonts w:ascii="IBM Plex Serif" w:hAnsi="IBM Plex Serif" w:cs="IBM Plex Serif" w:eastAsia="IBM Plex Serif"/>
                <w:b w:val="0"/>
                <w:i w:val="0"/>
                <w:color w:val="1C1A17"/>
                <w:sz w:val="18"/>
              </w:rPr>
              <w:t>Lu partout, modifié une fois par mois</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Deux règles fermes en découlent, et elles sont respectées sans exception dans le code : aucune position temps réel ne transite par le cache de requêtes, et le thème reste dans un contexte.</w:t>
      </w:r>
    </w:p>
    <w:p>
      <w:pPr>
        <w:spacing w:before="320" w:after="100"/>
        <w:keepNext w:val="1"/>
      </w:pPr>
      <w:r>
        <w:rPr>
          <w:rFonts w:ascii="IBM Plex Mono" w:hAnsi="IBM Plex Mono" w:cs="IBM Plex Mono" w:eastAsia="IBM Plex Mono"/>
          <w:b/>
          <w:i w:val="0"/>
          <w:color w:val="C62A26"/>
          <w:sz w:val="26"/>
        </w:rPr>
        <w:t xml:space="preserve">7.8   </w:t>
      </w:r>
      <w:r>
        <w:rPr>
          <w:rFonts w:ascii="Bebas Neue" w:hAnsi="Bebas Neue" w:cs="Bebas Neue" w:eastAsia="Bebas Neue"/>
          <w:b w:val="0"/>
          <w:i w:val="0"/>
          <w:color w:val="1C1A17"/>
          <w:sz w:val="36"/>
          <w:spacing w:val="10"/>
        </w:rPr>
        <w:t>Stockage des photographies</w:t>
      </w:r>
    </w:p>
    <w:p>
      <w:pPr>
        <w:spacing w:before="0" w:after="80" w:line="312" w:lineRule="auto"/>
        <w:ind w:firstLine="397"/>
        <w:jc w:val="both"/>
      </w:pPr>
      <w:r>
        <w:rPr>
          <w:rFonts w:ascii="IBM Plex Serif" w:hAnsi="IBM Plex Serif" w:cs="IBM Plex Serif" w:eastAsia="IBM Plex Serif"/>
          <w:b w:val="0"/>
          <w:i w:val="0"/>
          <w:color w:val="1C1A17"/>
          <w:sz w:val="21"/>
        </w:rPr>
        <w:t>Les photographies de panne et de garage sont envoyées directement du téléphone vers un service de stockage tiers, au moyen d'une signature délivrée par le serveur. Elles ne transitent jamais par le serveur applicatif.</w:t>
      </w:r>
    </w:p>
    <w:p>
      <w:pPr>
        <w:spacing w:before="0" w:after="80" w:line="312" w:lineRule="auto"/>
        <w:ind w:firstLine="397"/>
        <w:jc w:val="both"/>
      </w:pPr>
      <w:r>
        <w:rPr>
          <w:rFonts w:ascii="IBM Plex Serif" w:hAnsi="IBM Plex Serif" w:cs="IBM Plex Serif" w:eastAsia="IBM Plex Serif"/>
          <w:b w:val="0"/>
          <w:i w:val="0"/>
          <w:color w:val="1C1A17"/>
          <w:sz w:val="21"/>
        </w:rPr>
        <w:t>La raison est double. D'abord la charge : faire transiter des images par un serveur applicatif consomme sa bande passante et sa mémoire pour une opération qui n'a aucune valeur métier. Ensuite la fiabilité en réseau dégradé : un envoi direct peut être repris sans repasser par toute la chaîne applicative. La signature délivrée par le serveur contraint le préréglage d'envoi, ce qui évite qu'un jeton dérobé ne permette de déposer n'importe quoi.</w:t>
      </w:r>
    </w:p>
    <w:p>
      <w:pPr>
        <w:spacing w:before="320" w:after="100"/>
        <w:keepNext w:val="1"/>
      </w:pPr>
      <w:r>
        <w:rPr>
          <w:rFonts w:ascii="IBM Plex Mono" w:hAnsi="IBM Plex Mono" w:cs="IBM Plex Mono" w:eastAsia="IBM Plex Mono"/>
          <w:b/>
          <w:i w:val="0"/>
          <w:color w:val="C62A26"/>
          <w:sz w:val="26"/>
        </w:rPr>
        <w:t xml:space="preserve">7.9   </w:t>
      </w:r>
      <w:r>
        <w:rPr>
          <w:rFonts w:ascii="Bebas Neue" w:hAnsi="Bebas Neue" w:cs="Bebas Neue" w:eastAsia="Bebas Neue"/>
          <w:b w:val="0"/>
          <w:i w:val="0"/>
          <w:color w:val="1C1A17"/>
          <w:sz w:val="36"/>
          <w:spacing w:val="10"/>
        </w:rPr>
        <w:t>Synthèse des choix</w:t>
      </w:r>
    </w:p>
    <w:p>
      <w:pPr>
        <w:spacing w:before="200" w:after="80"/>
        <w:keepNext w:val="1"/>
      </w:pPr>
      <w:r>
        <w:rPr>
          <w:rFonts w:ascii="IBM Plex Sans" w:hAnsi="IBM Plex Sans" w:cs="IBM Plex Sans" w:eastAsia="IBM Plex Sans"/>
          <w:b/>
          <w:i w:val="0"/>
          <w:color w:val="C62A26"/>
          <w:sz w:val="18"/>
        </w:rPr>
        <w:t xml:space="preserve">Tableau 29 — </w:t>
      </w:r>
      <w:r>
        <w:rPr>
          <w:rFonts w:ascii="IBM Plex Sans" w:hAnsi="IBM Plex Sans" w:cs="IBM Plex Sans" w:eastAsia="IBM Plex Sans"/>
          <w:b w:val="0"/>
          <w:i w:val="0"/>
          <w:color w:val="55514A"/>
          <w:sz w:val="18"/>
        </w:rPr>
        <w:t>Synthèse des choix techniques et de leur justification principale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Domaine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Choix</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Justification déterminante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Organisation du code</w:t>
            </w:r>
          </w:p>
        </w:tc>
        <w:tc>
          <w:tcPr>
            <w:tcW w:type="dxa" w:w="3099"/>
          </w:tcPr>
          <w:p>
            <w:pPr>
              <w:spacing w:before="60" w:after="60" w:line="269" w:lineRule="auto"/>
            </w:pPr>
            <w:r/>
            <w:r>
              <w:rPr>
                <w:rFonts w:ascii="IBM Plex Serif" w:hAnsi="IBM Plex Serif" w:cs="IBM Plex Serif" w:eastAsia="IBM Plex Serif"/>
                <w:b w:val="0"/>
                <w:i w:val="0"/>
                <w:color w:val="1C1A17"/>
                <w:sz w:val="18"/>
              </w:rPr>
              <w:t>Monorepo avec paquet partagé</w:t>
            </w:r>
          </w:p>
        </w:tc>
        <w:tc>
          <w:tcPr>
            <w:tcW w:type="dxa" w:w="3099"/>
          </w:tcPr>
          <w:p>
            <w:pPr>
              <w:spacing w:before="60" w:after="60" w:line="269" w:lineRule="auto"/>
            </w:pPr>
            <w:r/>
            <w:r>
              <w:rPr>
                <w:rFonts w:ascii="IBM Plex Serif" w:hAnsi="IBM Plex Serif" w:cs="IBM Plex Serif" w:eastAsia="IBM Plex Serif"/>
                <w:b w:val="0"/>
                <w:i w:val="0"/>
                <w:color w:val="1C1A17"/>
                <w:sz w:val="18"/>
              </w:rPr>
              <w:t>Rend la divergence des contrats impossible à compiler</w:t>
            </w:r>
          </w:p>
        </w:tc>
      </w:tr>
      <w:tr>
        <w:tc>
          <w:tcPr>
            <w:tcW w:type="dxa" w:w="3099"/>
          </w:tcPr>
          <w:p>
            <w:pPr>
              <w:spacing w:before="60" w:after="60" w:line="269" w:lineRule="auto"/>
            </w:pPr>
            <w:r/>
            <w:r>
              <w:rPr>
                <w:rFonts w:ascii="IBM Plex Serif" w:hAnsi="IBM Plex Serif" w:cs="IBM Plex Serif" w:eastAsia="IBM Plex Serif"/>
                <w:b w:val="0"/>
                <w:i w:val="0"/>
                <w:color w:val="1C1A17"/>
                <w:sz w:val="18"/>
              </w:rPr>
              <w:t>Base de données</w:t>
            </w:r>
          </w:p>
        </w:tc>
        <w:tc>
          <w:tcPr>
            <w:tcW w:type="dxa" w:w="3099"/>
          </w:tcPr>
          <w:p>
            <w:pPr>
              <w:spacing w:before="60" w:after="60" w:line="269" w:lineRule="auto"/>
            </w:pPr>
            <w:r/>
            <w:r>
              <w:rPr>
                <w:rFonts w:ascii="IBM Plex Serif" w:hAnsi="IBM Plex Serif" w:cs="IBM Plex Serif" w:eastAsia="IBM Plex Serif"/>
                <w:b w:val="0"/>
                <w:i w:val="0"/>
                <w:color w:val="1C1A17"/>
                <w:sz w:val="18"/>
              </w:rPr>
              <w:t>PostgreSQL avec extension géospatiale</w:t>
            </w:r>
          </w:p>
        </w:tc>
        <w:tc>
          <w:tcPr>
            <w:tcW w:type="dxa" w:w="3099"/>
          </w:tcPr>
          <w:p>
            <w:pPr>
              <w:spacing w:before="60" w:after="60" w:line="269" w:lineRule="auto"/>
            </w:pPr>
            <w:r/>
            <w:r>
              <w:rPr>
                <w:rFonts w:ascii="IBM Plex Serif" w:hAnsi="IBM Plex Serif" w:cs="IBM Plex Serif" w:eastAsia="IBM Plex Serif"/>
                <w:b w:val="0"/>
                <w:i w:val="0"/>
                <w:color w:val="1C1A17"/>
                <w:sz w:val="18"/>
              </w:rPr>
              <w:t>Contraintes métier dans le schéma et plan de requête vérifiable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Accès aux données</w:t>
            </w:r>
          </w:p>
        </w:tc>
        <w:tc>
          <w:tcPr>
            <w:tcW w:type="dxa" w:w="3099"/>
          </w:tcPr>
          <w:p>
            <w:pPr>
              <w:spacing w:before="60" w:after="60" w:line="269" w:lineRule="auto"/>
            </w:pPr>
            <w:r/>
            <w:r>
              <w:rPr>
                <w:rFonts w:ascii="IBM Plex Serif" w:hAnsi="IBM Plex Serif" w:cs="IBM Plex Serif" w:eastAsia="IBM Plex Serif"/>
                <w:b w:val="0"/>
                <w:i w:val="0"/>
                <w:color w:val="1C1A17"/>
                <w:sz w:val="18"/>
              </w:rPr>
              <w:t>Constructeur de requêtes typé</w:t>
            </w:r>
          </w:p>
        </w:tc>
        <w:tc>
          <w:tcPr>
            <w:tcW w:type="dxa" w:w="3099"/>
          </w:tcPr>
          <w:p>
            <w:pPr>
              <w:spacing w:before="60" w:after="60" w:line="269" w:lineRule="auto"/>
            </w:pPr>
            <w:r/>
            <w:r>
              <w:rPr>
                <w:rFonts w:ascii="IBM Plex Serif" w:hAnsi="IBM Plex Serif" w:cs="IBM Plex Serif" w:eastAsia="IBM Plex Serif"/>
                <w:b w:val="0"/>
                <w:i w:val="0"/>
                <w:color w:val="1C1A17"/>
                <w:sz w:val="18"/>
              </w:rPr>
              <w:t>Conserve le typage sur la moitié géospatiale du produit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Hébergement de la base</w:t>
            </w:r>
          </w:p>
        </w:tc>
        <w:tc>
          <w:tcPr>
            <w:tcW w:type="dxa" w:w="3099"/>
          </w:tcPr>
          <w:p>
            <w:pPr>
              <w:spacing w:before="60" w:after="60" w:line="269" w:lineRule="auto"/>
            </w:pPr>
            <w:r/>
            <w:r>
              <w:rPr>
                <w:rFonts w:ascii="IBM Plex Serif" w:hAnsi="IBM Plex Serif" w:cs="IBM Plex Serif" w:eastAsia="IBM Plex Serif"/>
                <w:b w:val="0"/>
                <w:i w:val="0"/>
                <w:color w:val="1C1A17"/>
                <w:sz w:val="18"/>
              </w:rPr>
              <w:t>Offre serverless avec branches</w:t>
            </w:r>
          </w:p>
        </w:tc>
        <w:tc>
          <w:tcPr>
            <w:tcW w:type="dxa" w:w="3099"/>
          </w:tcPr>
          <w:p>
            <w:pPr>
              <w:spacing w:before="60" w:after="60" w:line="269" w:lineRule="auto"/>
            </w:pPr>
            <w:r/>
            <w:r>
              <w:rPr>
                <w:rFonts w:ascii="IBM Plex Serif" w:hAnsi="IBM Plex Serif" w:cs="IBM Plex Serif" w:eastAsia="IBM Plex Serif"/>
                <w:b w:val="0"/>
                <w:i w:val="0"/>
                <w:color w:val="1C1A17"/>
                <w:sz w:val="18"/>
              </w:rPr>
              <w:t>Branches de développement et de test isolées de la production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Client mobile</w:t>
            </w:r>
          </w:p>
        </w:tc>
        <w:tc>
          <w:tcPr>
            <w:tcW w:type="dxa" w:w="3099"/>
          </w:tcPr>
          <w:p>
            <w:pPr>
              <w:spacing w:before="60" w:after="60" w:line="269" w:lineRule="auto"/>
            </w:pPr>
            <w:r/>
            <w:r>
              <w:rPr>
                <w:rFonts w:ascii="IBM Plex Serif" w:hAnsi="IBM Plex Serif" w:cs="IBM Plex Serif" w:eastAsia="IBM Plex Serif"/>
                <w:b w:val="0"/>
                <w:i w:val="0"/>
                <w:color w:val="1C1A17"/>
                <w:sz w:val="18"/>
              </w:rPr>
              <w:t>React Native et Expo</w:t>
            </w:r>
          </w:p>
        </w:tc>
        <w:tc>
          <w:tcPr>
            <w:tcW w:type="dxa" w:w="3099"/>
          </w:tcPr>
          <w:p>
            <w:pPr>
              <w:spacing w:before="60" w:after="60" w:line="269" w:lineRule="auto"/>
            </w:pPr>
            <w:r/>
            <w:r>
              <w:rPr>
                <w:rFonts w:ascii="IBM Plex Serif" w:hAnsi="IBM Plex Serif" w:cs="IBM Plex Serif" w:eastAsia="IBM Plex Serif"/>
                <w:b w:val="0"/>
                <w:i w:val="0"/>
                <w:color w:val="1C1A17"/>
                <w:sz w:val="18"/>
              </w:rPr>
              <w:t>Une seule stack TypeScript ; construction distante sans machine Apple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Cartographie</w:t>
            </w:r>
          </w:p>
        </w:tc>
        <w:tc>
          <w:tcPr>
            <w:tcW w:type="dxa" w:w="3099"/>
          </w:tcPr>
          <w:p>
            <w:pPr>
              <w:spacing w:before="60" w:after="60" w:line="269" w:lineRule="auto"/>
            </w:pPr>
            <w:r/>
            <w:r>
              <w:rPr>
                <w:rFonts w:ascii="IBM Plex Serif" w:hAnsi="IBM Plex Serif" w:cs="IBM Plex Serif" w:eastAsia="IBM Plex Serif"/>
                <w:b w:val="0"/>
                <w:i w:val="0"/>
                <w:color w:val="1C1A17"/>
                <w:sz w:val="18"/>
              </w:rPr>
              <w:t>Rendu vectoriel libre et tuiles à l'usage</w:t>
            </w:r>
          </w:p>
        </w:tc>
        <w:tc>
          <w:tcPr>
            <w:tcW w:type="dxa" w:w="3099"/>
          </w:tcPr>
          <w:p>
            <w:pPr>
              <w:spacing w:before="60" w:after="60" w:line="269" w:lineRule="auto"/>
            </w:pPr>
            <w:r/>
            <w:r>
              <w:rPr>
                <w:rFonts w:ascii="IBM Plex Serif" w:hAnsi="IBM Plex Serif" w:cs="IBM Plex Serif" w:eastAsia="IBM Plex Serif"/>
                <w:b w:val="0"/>
                <w:i w:val="0"/>
                <w:color w:val="1C1A17"/>
                <w:sz w:val="18"/>
              </w:rPr>
              <w:t>Style identique sur les deux plateformes ; meilleure couverture des voies non bitumées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Temps réel</w:t>
            </w:r>
          </w:p>
        </w:tc>
        <w:tc>
          <w:tcPr>
            <w:tcW w:type="dxa" w:w="3099"/>
          </w:tcPr>
          <w:p>
            <w:pPr>
              <w:spacing w:before="60" w:after="60" w:line="269" w:lineRule="auto"/>
            </w:pPr>
            <w:r/>
            <w:r>
              <w:rPr>
                <w:rFonts w:ascii="IBM Plex Serif" w:hAnsi="IBM Plex Serif" w:cs="IBM Plex Serif" w:eastAsia="IBM Plex Serif"/>
                <w:b w:val="0"/>
                <w:i w:val="0"/>
                <w:color w:val="1C1A17"/>
                <w:sz w:val="18"/>
              </w:rPr>
              <w:t>Socket bidirectionnel avec repli de transport</w:t>
            </w:r>
          </w:p>
        </w:tc>
        <w:tc>
          <w:tcPr>
            <w:tcW w:type="dxa" w:w="3099"/>
          </w:tcPr>
          <w:p>
            <w:pPr>
              <w:spacing w:before="60" w:after="60" w:line="269" w:lineRule="auto"/>
            </w:pPr>
            <w:r/>
            <w:r>
              <w:rPr>
                <w:rFonts w:ascii="IBM Plex Serif" w:hAnsi="IBM Plex Serif" w:cs="IBM Plex Serif" w:eastAsia="IBM Plex Serif"/>
                <w:b w:val="0"/>
                <w:i w:val="0"/>
                <w:color w:val="1C1A17"/>
                <w:sz w:val="18"/>
              </w:rPr>
              <w:t>Le repli est ce qui sauve une session sur réseau qui coupe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Itinéraire</w:t>
            </w:r>
          </w:p>
        </w:tc>
        <w:tc>
          <w:tcPr>
            <w:tcW w:type="dxa" w:w="3099"/>
          </w:tcPr>
          <w:p>
            <w:pPr>
              <w:spacing w:before="60" w:after="60" w:line="269" w:lineRule="auto"/>
            </w:pPr>
            <w:r/>
            <w:r>
              <w:rPr>
                <w:rFonts w:ascii="IBM Plex Serif" w:hAnsi="IBM Plex Serif" w:cs="IBM Plex Serif" w:eastAsia="IBM Plex Serif"/>
                <w:b w:val="0"/>
                <w:i w:val="0"/>
                <w:color w:val="1C1A17"/>
                <w:sz w:val="18"/>
              </w:rPr>
              <w:t>Moteur auto-hébergé, à venir</w:t>
            </w:r>
          </w:p>
        </w:tc>
        <w:tc>
          <w:tcPr>
            <w:tcW w:type="dxa" w:w="3099"/>
          </w:tcPr>
          <w:p>
            <w:pPr>
              <w:spacing w:before="60" w:after="60" w:line="269" w:lineRule="auto"/>
            </w:pPr>
            <w:r/>
            <w:r>
              <w:rPr>
                <w:rFonts w:ascii="IBM Plex Serif" w:hAnsi="IBM Plex Serif" w:cs="IBM Plex Serif" w:eastAsia="IBM Plex Serif"/>
                <w:b w:val="0"/>
                <w:i w:val="0"/>
                <w:color w:val="1C1A17"/>
                <w:sz w:val="18"/>
              </w:rPr>
              <w:t>Un lien vers une carte tierce ferait sortir de l'application et détruirait la preuve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Photographies</w:t>
            </w:r>
          </w:p>
        </w:tc>
        <w:tc>
          <w:tcPr>
            <w:tcW w:type="dxa" w:w="3099"/>
          </w:tcPr>
          <w:p>
            <w:pPr>
              <w:spacing w:before="60" w:after="60" w:line="269" w:lineRule="auto"/>
            </w:pPr>
            <w:r/>
            <w:r>
              <w:rPr>
                <w:rFonts w:ascii="IBM Plex Serif" w:hAnsi="IBM Plex Serif" w:cs="IBM Plex Serif" w:eastAsia="IBM Plex Serif"/>
                <w:b w:val="0"/>
                <w:i w:val="0"/>
                <w:color w:val="1C1A17"/>
                <w:sz w:val="18"/>
              </w:rPr>
              <w:t>Envoi direct signé vers un service tiers</w:t>
            </w:r>
          </w:p>
        </w:tc>
        <w:tc>
          <w:tcPr>
            <w:tcW w:type="dxa" w:w="3099"/>
          </w:tcPr>
          <w:p>
            <w:pPr>
              <w:spacing w:before="60" w:after="60" w:line="269" w:lineRule="auto"/>
            </w:pPr>
            <w:r/>
            <w:r>
              <w:rPr>
                <w:rFonts w:ascii="IBM Plex Serif" w:hAnsi="IBM Plex Serif" w:cs="IBM Plex Serif" w:eastAsia="IBM Plex Serif"/>
                <w:b w:val="0"/>
                <w:i w:val="0"/>
                <w:color w:val="1C1A17"/>
                <w:sz w:val="18"/>
              </w:rPr>
              <w:t>Ne charge pas le serveur applicatif ; reprise possible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Validation</w:t>
            </w:r>
          </w:p>
        </w:tc>
        <w:tc>
          <w:tcPr>
            <w:tcW w:type="dxa" w:w="3099"/>
          </w:tcPr>
          <w:p>
            <w:pPr>
              <w:spacing w:before="60" w:after="60" w:line="269" w:lineRule="auto"/>
            </w:pPr>
            <w:r/>
            <w:r>
              <w:rPr>
                <w:rFonts w:ascii="IBM Plex Serif" w:hAnsi="IBM Plex Serif" w:cs="IBM Plex Serif" w:eastAsia="IBM Plex Serif"/>
                <w:b w:val="0"/>
                <w:i w:val="0"/>
                <w:color w:val="1C1A17"/>
                <w:sz w:val="18"/>
              </w:rPr>
              <w:t>Schémas partagés serveur et mobile</w:t>
            </w:r>
          </w:p>
        </w:tc>
        <w:tc>
          <w:tcPr>
            <w:tcW w:type="dxa" w:w="3099"/>
          </w:tcPr>
          <w:p>
            <w:pPr>
              <w:spacing w:before="60" w:after="60" w:line="269" w:lineRule="auto"/>
            </w:pPr>
            <w:r/>
            <w:r>
              <w:rPr>
                <w:rFonts w:ascii="IBM Plex Serif" w:hAnsi="IBM Plex Serif" w:cs="IBM Plex Serif" w:eastAsia="IBM Plex Serif"/>
                <w:b w:val="0"/>
                <w:i w:val="0"/>
                <w:color w:val="1C1A17"/>
                <w:sz w:val="18"/>
              </w:rPr>
              <w:t>Une règle écrite une fois, appliquée aux deux extrémités</w:t>
            </w:r>
          </w:p>
        </w:tc>
      </w:tr>
    </w:tbl>
    <w:p>
      <w:pPr>
        <w:spacing w:after="160"/>
      </w:pPr>
    </w:p>
    <w:p>
      <w:pPr>
        <w:pageBreakBefore w:val="1"/>
        <w:spacing w:before="0" w:after="40"/>
      </w:pPr>
      <w:r>
        <w:rPr>
          <w:rFonts w:ascii="Bebas Neue" w:hAnsi="Bebas Neue" w:cs="Bebas Neue" w:eastAsia="Bebas Neue"/>
          <w:b w:val="0"/>
          <w:i w:val="0"/>
          <w:color w:val="C62A26"/>
          <w:sz w:val="22"/>
          <w:spacing w:val="38"/>
        </w:rPr>
        <w:t>CHAPITRE 8</w:t>
      </w:r>
    </w:p>
    <w:p>
      <w:pPr>
        <w:spacing w:after="320"/>
        <w:pBdr>
          <w:bottom w:val="single" w:sz="10" w:space="8" w:color="C62A26"/>
        </w:pBdr>
        <w:keepNext w:val="1"/>
      </w:pPr>
      <w:r>
        <w:rPr>
          <w:rFonts w:ascii="Bebas Neue" w:hAnsi="Bebas Neue" w:cs="Bebas Neue" w:eastAsia="Bebas Neue"/>
          <w:b w:val="0"/>
          <w:i w:val="0"/>
          <w:color w:val="1C1A17"/>
          <w:sz w:val="54"/>
          <w:spacing w:val="10"/>
        </w:rPr>
        <w:t>Résultats obtenus</w:t>
      </w:r>
    </w:p>
    <w:p>
      <w:pPr>
        <w:spacing w:before="320" w:after="100"/>
        <w:keepNext w:val="1"/>
      </w:pPr>
      <w:r>
        <w:rPr>
          <w:rFonts w:ascii="IBM Plex Mono" w:hAnsi="IBM Plex Mono" w:cs="IBM Plex Mono" w:eastAsia="IBM Plex Mono"/>
          <w:b/>
          <w:i w:val="0"/>
          <w:color w:val="C62A26"/>
          <w:sz w:val="26"/>
        </w:rPr>
        <w:t xml:space="preserve">8.1   </w:t>
      </w:r>
      <w:r>
        <w:rPr>
          <w:rFonts w:ascii="Bebas Neue" w:hAnsi="Bebas Neue" w:cs="Bebas Neue" w:eastAsia="Bebas Neue"/>
          <w:b w:val="0"/>
          <w:i w:val="0"/>
          <w:color w:val="1C1A17"/>
          <w:sz w:val="36"/>
          <w:spacing w:val="10"/>
        </w:rPr>
        <w:t>État d'avancement</w:t>
      </w:r>
    </w:p>
    <w:p>
      <w:pPr>
        <w:spacing w:before="0" w:after="80" w:line="312" w:lineRule="auto"/>
        <w:ind w:firstLine="397"/>
        <w:jc w:val="both"/>
      </w:pPr>
      <w:r>
        <w:rPr>
          <w:rFonts w:ascii="IBM Plex Serif" w:hAnsi="IBM Plex Serif" w:cs="IBM Plex Serif" w:eastAsia="IBM Plex Serif"/>
          <w:b w:val="0"/>
          <w:i w:val="0"/>
          <w:color w:val="1C1A17"/>
          <w:sz w:val="21"/>
        </w:rPr>
        <w:t>L'application est construite. L'ossature complète — navigation, authentification, carte, déclaration de panne, résultats classés, suivi temps réel dans les deux sens, clôture, preuve d'arrivée, registre des commissions, fidélité, mode conduite, espace garagiste — est en place et fonctionne de bout en bout.</w:t>
      </w:r>
    </w:p>
    <w:p>
      <w:pPr>
        <w:spacing w:before="200" w:after="80"/>
        <w:keepNext w:val="1"/>
      </w:pPr>
      <w:r>
        <w:rPr>
          <w:rFonts w:ascii="IBM Plex Sans" w:hAnsi="IBM Plex Sans" w:cs="IBM Plex Sans" w:eastAsia="IBM Plex Sans"/>
          <w:b/>
          <w:i w:val="0"/>
          <w:color w:val="C62A26"/>
          <w:sz w:val="18"/>
        </w:rPr>
        <w:t xml:space="preserve">Tableau 30 — </w:t>
      </w:r>
      <w:r>
        <w:rPr>
          <w:rFonts w:ascii="IBM Plex Sans" w:hAnsi="IBM Plex Sans" w:cs="IBM Plex Sans" w:eastAsia="IBM Plex Sans"/>
          <w:b w:val="0"/>
          <w:i w:val="0"/>
          <w:color w:val="55514A"/>
          <w:sz w:val="18"/>
        </w:rPr>
        <w:t>Volumétrie du code livré</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Indicateur</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Valeur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Lignes de TypeScript et TSX</w:t>
            </w:r>
          </w:p>
        </w:tc>
        <w:tc>
          <w:tcPr>
            <w:tcW w:type="dxa" w:w="4649"/>
          </w:tcPr>
          <w:p>
            <w:pPr>
              <w:spacing w:before="60" w:after="60" w:line="269" w:lineRule="auto"/>
            </w:pPr>
            <w:r/>
            <w:r>
              <w:rPr>
                <w:rFonts w:ascii="IBM Plex Serif" w:hAnsi="IBM Plex Serif" w:cs="IBM Plex Serif" w:eastAsia="IBM Plex Serif"/>
                <w:b w:val="0"/>
                <w:i w:val="0"/>
                <w:color w:val="1C1A17"/>
                <w:sz w:val="18"/>
              </w:rPr>
              <w:t>51 954</w:t>
            </w:r>
          </w:p>
        </w:tc>
      </w:tr>
      <w:tr>
        <w:tc>
          <w:tcPr>
            <w:tcW w:type="dxa" w:w="4649"/>
          </w:tcPr>
          <w:p>
            <w:pPr>
              <w:spacing w:before="60" w:after="60" w:line="269" w:lineRule="auto"/>
            </w:pPr>
            <w:r/>
            <w:r>
              <w:rPr>
                <w:rFonts w:ascii="IBM Plex Serif" w:hAnsi="IBM Plex Serif" w:cs="IBM Plex Serif" w:eastAsia="IBM Plex Serif"/>
                <w:b w:val="0"/>
                <w:i w:val="0"/>
                <w:color w:val="1C1A17"/>
                <w:sz w:val="18"/>
              </w:rPr>
              <w:t>Routes d'écran mobile</w:t>
            </w:r>
          </w:p>
        </w:tc>
        <w:tc>
          <w:tcPr>
            <w:tcW w:type="dxa" w:w="4649"/>
          </w:tcPr>
          <w:p>
            <w:pPr>
              <w:spacing w:before="60" w:after="60" w:line="269" w:lineRule="auto"/>
            </w:pPr>
            <w:r/>
            <w:r>
              <w:rPr>
                <w:rFonts w:ascii="IBM Plex Serif" w:hAnsi="IBM Plex Serif" w:cs="IBM Plex Serif" w:eastAsia="IBM Plex Serif"/>
                <w:b w:val="0"/>
                <w:i w:val="0"/>
                <w:color w:val="1C1A17"/>
                <w:sz w:val="18"/>
              </w:rPr>
              <w:t>26</w:t>
            </w:r>
          </w:p>
        </w:tc>
      </w:tr>
      <w:tr>
        <w:tc>
          <w:tcPr>
            <w:tcW w:type="dxa" w:w="4649"/>
          </w:tcPr>
          <w:p>
            <w:pPr>
              <w:spacing w:before="60" w:after="60" w:line="269" w:lineRule="auto"/>
            </w:pPr>
            <w:r/>
            <w:r>
              <w:rPr>
                <w:rFonts w:ascii="IBM Plex Serif" w:hAnsi="IBM Plex Serif" w:cs="IBM Plex Serif" w:eastAsia="IBM Plex Serif"/>
                <w:b w:val="0"/>
                <w:i w:val="0"/>
                <w:color w:val="1C1A17"/>
                <w:sz w:val="18"/>
              </w:rPr>
              <w:t>Routes exposées par l'interface de programmation</w:t>
            </w:r>
          </w:p>
        </w:tc>
        <w:tc>
          <w:tcPr>
            <w:tcW w:type="dxa" w:w="4649"/>
          </w:tcPr>
          <w:p>
            <w:pPr>
              <w:spacing w:before="60" w:after="60" w:line="269" w:lineRule="auto"/>
            </w:pPr>
            <w:r/>
            <w:r>
              <w:rPr>
                <w:rFonts w:ascii="IBM Plex Serif" w:hAnsi="IBM Plex Serif" w:cs="IBM Plex Serif" w:eastAsia="IBM Plex Serif"/>
                <w:b w:val="0"/>
                <w:i w:val="0"/>
                <w:color w:val="1C1A17"/>
                <w:sz w:val="18"/>
              </w:rPr>
              <w:t>43</w:t>
            </w:r>
          </w:p>
        </w:tc>
      </w:tr>
      <w:tr>
        <w:tc>
          <w:tcPr>
            <w:tcW w:type="dxa" w:w="4649"/>
          </w:tcPr>
          <w:p>
            <w:pPr>
              <w:spacing w:before="60" w:after="60" w:line="269" w:lineRule="auto"/>
            </w:pPr>
            <w:r/>
            <w:r>
              <w:rPr>
                <w:rFonts w:ascii="IBM Plex Serif" w:hAnsi="IBM Plex Serif" w:cs="IBM Plex Serif" w:eastAsia="IBM Plex Serif"/>
                <w:b w:val="0"/>
                <w:i w:val="0"/>
                <w:color w:val="1C1A17"/>
                <w:sz w:val="18"/>
              </w:rPr>
              <w:t>Tables de base de données</w:t>
            </w:r>
          </w:p>
        </w:tc>
        <w:tc>
          <w:tcPr>
            <w:tcW w:type="dxa" w:w="4649"/>
          </w:tcPr>
          <w:p>
            <w:pPr>
              <w:spacing w:before="60" w:after="60" w:line="269" w:lineRule="auto"/>
            </w:pPr>
            <w:r/>
            <w:r>
              <w:rPr>
                <w:rFonts w:ascii="IBM Plex Serif" w:hAnsi="IBM Plex Serif" w:cs="IBM Plex Serif" w:eastAsia="IBM Plex Serif"/>
                <w:b w:val="0"/>
                <w:i w:val="0"/>
                <w:color w:val="1C1A17"/>
                <w:sz w:val="18"/>
              </w:rPr>
              <w:t>14</w:t>
            </w:r>
          </w:p>
        </w:tc>
      </w:tr>
      <w:tr>
        <w:tc>
          <w:tcPr>
            <w:tcW w:type="dxa" w:w="4649"/>
          </w:tcPr>
          <w:p>
            <w:pPr>
              <w:spacing w:before="60" w:after="60" w:line="269" w:lineRule="auto"/>
            </w:pPr>
            <w:r/>
            <w:r>
              <w:rPr>
                <w:rFonts w:ascii="IBM Plex Serif" w:hAnsi="IBM Plex Serif" w:cs="IBM Plex Serif" w:eastAsia="IBM Plex Serif"/>
                <w:b w:val="0"/>
                <w:i w:val="0"/>
                <w:color w:val="1C1A17"/>
                <w:sz w:val="18"/>
              </w:rPr>
              <w:t>Migrations SQL versionnées</w:t>
            </w:r>
          </w:p>
        </w:tc>
        <w:tc>
          <w:tcPr>
            <w:tcW w:type="dxa" w:w="4649"/>
          </w:tcPr>
          <w:p>
            <w:pPr>
              <w:spacing w:before="60" w:after="60" w:line="269" w:lineRule="auto"/>
            </w:pPr>
            <w:r/>
            <w:r>
              <w:rPr>
                <w:rFonts w:ascii="IBM Plex Serif" w:hAnsi="IBM Plex Serif" w:cs="IBM Plex Serif" w:eastAsia="IBM Plex Serif"/>
                <w:b w:val="0"/>
                <w:i w:val="0"/>
                <w:color w:val="1C1A17"/>
                <w:sz w:val="18"/>
              </w:rPr>
              <w:t>9</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Fichiers de tests automatisés</w:t>
            </w:r>
          </w:p>
        </w:tc>
        <w:tc>
          <w:tcPr>
            <w:tcW w:type="dxa" w:w="4649"/>
          </w:tcPr>
          <w:p>
            <w:pPr>
              <w:spacing w:before="60" w:after="60" w:line="269" w:lineRule="auto"/>
            </w:pPr>
            <w:r/>
            <w:r>
              <w:rPr>
                <w:rFonts w:ascii="IBM Plex Serif" w:hAnsi="IBM Plex Serif" w:cs="IBM Plex Serif" w:eastAsia="IBM Plex Serif"/>
                <w:b w:val="0"/>
                <w:i w:val="0"/>
                <w:color w:val="1C1A17"/>
                <w:sz w:val="18"/>
              </w:rPr>
              <w:t>29</w:t>
            </w:r>
          </w:p>
        </w:tc>
      </w:tr>
      <w:tr>
        <w:tc>
          <w:tcPr>
            <w:tcW w:type="dxa" w:w="4649"/>
          </w:tcPr>
          <w:p>
            <w:pPr>
              <w:spacing w:before="60" w:after="60" w:line="269" w:lineRule="auto"/>
            </w:pPr>
            <w:r/>
            <w:r>
              <w:rPr>
                <w:rFonts w:ascii="IBM Plex Serif" w:hAnsi="IBM Plex Serif" w:cs="IBM Plex Serif" w:eastAsia="IBM Plex Serif"/>
                <w:b w:val="0"/>
                <w:i w:val="0"/>
                <w:color w:val="1C1A17"/>
                <w:sz w:val="18"/>
              </w:rPr>
              <w:t>Cas de test</w:t>
            </w:r>
          </w:p>
        </w:tc>
        <w:tc>
          <w:tcPr>
            <w:tcW w:type="dxa" w:w="4649"/>
          </w:tcPr>
          <w:p>
            <w:pPr>
              <w:spacing w:before="60" w:after="60" w:line="269" w:lineRule="auto"/>
            </w:pPr>
            <w:r/>
            <w:r>
              <w:rPr>
                <w:rFonts w:ascii="IBM Plex Serif" w:hAnsi="IBM Plex Serif" w:cs="IBM Plex Serif" w:eastAsia="IBM Plex Serif"/>
                <w:b w:val="0"/>
                <w:i w:val="0"/>
                <w:color w:val="1C1A17"/>
                <w:sz w:val="18"/>
              </w:rPr>
              <w:t>327</w:t>
            </w:r>
          </w:p>
        </w:tc>
      </w:tr>
      <w:tr>
        <w:tc>
          <w:tcPr>
            <w:tcW w:type="dxa" w:w="4649"/>
          </w:tcPr>
          <w:p>
            <w:pPr>
              <w:spacing w:before="60" w:after="60" w:line="269" w:lineRule="auto"/>
            </w:pPr>
            <w:r/>
            <w:r>
              <w:rPr>
                <w:rFonts w:ascii="IBM Plex Serif" w:hAnsi="IBM Plex Serif" w:cs="IBM Plex Serif" w:eastAsia="IBM Plex Serif"/>
                <w:b w:val="0"/>
                <w:i w:val="0"/>
                <w:color w:val="1C1A17"/>
                <w:sz w:val="18"/>
              </w:rPr>
              <w:t>Garages du jeu de données</w:t>
            </w:r>
          </w:p>
        </w:tc>
        <w:tc>
          <w:tcPr>
            <w:tcW w:type="dxa" w:w="4649"/>
          </w:tcPr>
          <w:p>
            <w:pPr>
              <w:spacing w:before="60" w:after="60" w:line="269" w:lineRule="auto"/>
            </w:pPr>
            <w:r/>
            <w:r>
              <w:rPr>
                <w:rFonts w:ascii="IBM Plex Serif" w:hAnsi="IBM Plex Serif" w:cs="IBM Plex Serif" w:eastAsia="IBM Plex Serif"/>
                <w:b w:val="0"/>
                <w:i w:val="0"/>
                <w:color w:val="1C1A17"/>
                <w:sz w:val="18"/>
              </w:rPr>
              <w:t>30 à Yaoundé, 3 à Ebolowa</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Un point doit être signalé avec netteté avant la présentation des interfaces. Les visuels qui suivent sont les maquettes de référence du produit, celles qui ont été dessinées avant le développement et qui ont servi de contrat visuel tout au long de sa réalisation. Ce ne sont pas des captures prises sur un appareil en fonctionnement. La raison en est que la bibliothèque de rendu cartographique ne fonctionne pas dans l'environnement de développement rapide et exige une version installable construite spécifiquement, ce qui suppose un appareil physique. Les captures réelles seront produites à l'occasion de la campagne d'essais sur appareil décrite en fin de chapitre. On notera par ailleurs que les libellés de quartiers visibles sur ces maquettes sont ceux de Douala, ville initialement retenue ; le produit se lance à Yaoundé et Ebolowa, et le jeu de données l'est déjà.</w:t>
      </w:r>
    </w:p>
    <w:p>
      <w:pPr>
        <w:spacing w:before="320" w:after="100"/>
        <w:keepNext w:val="1"/>
      </w:pPr>
      <w:r>
        <w:rPr>
          <w:rFonts w:ascii="IBM Plex Mono" w:hAnsi="IBM Plex Mono" w:cs="IBM Plex Mono" w:eastAsia="IBM Plex Mono"/>
          <w:b/>
          <w:i w:val="0"/>
          <w:color w:val="C62A26"/>
          <w:sz w:val="26"/>
        </w:rPr>
        <w:t xml:space="preserve">8.2   </w:t>
      </w:r>
      <w:r>
        <w:rPr>
          <w:rFonts w:ascii="Bebas Neue" w:hAnsi="Bebas Neue" w:cs="Bebas Neue" w:eastAsia="Bebas Neue"/>
          <w:b w:val="0"/>
          <w:i w:val="0"/>
          <w:color w:val="1C1A17"/>
          <w:sz w:val="36"/>
          <w:spacing w:val="10"/>
        </w:rPr>
        <w:t>Les interfaces</w:t>
      </w:r>
    </w:p>
    <w:p>
      <w:pPr>
        <w:spacing w:before="240" w:after="100"/>
        <w:keepNext w:val="1"/>
      </w:pPr>
      <w:r>
        <w:rPr>
          <w:rFonts w:ascii="IBM Plex Mono" w:hAnsi="IBM Plex Mono" w:cs="IBM Plex Mono" w:eastAsia="IBM Plex Mono"/>
          <w:b/>
          <w:i w:val="0"/>
          <w:color w:val="C62A26"/>
          <w:sz w:val="19"/>
        </w:rPr>
        <w:t xml:space="preserve">8.2.1   </w:t>
      </w:r>
      <w:r>
        <w:rPr>
          <w:rFonts w:ascii="Bebas Neue" w:hAnsi="Bebas Neue" w:cs="Bebas Neue" w:eastAsia="Bebas Neue"/>
          <w:b w:val="0"/>
          <w:i w:val="0"/>
          <w:color w:val="1C1A17"/>
          <w:sz w:val="29"/>
          <w:spacing w:val="10"/>
        </w:rPr>
        <w:t>Lancement et carte principale</w:t>
      </w:r>
    </w:p>
    <w:tbl>
      <w:tblPr>
        <w:tblW w:type="auto" w:w="0"/>
        <w:jc w:val="center"/>
        <w:tblLook w:firstColumn="1" w:firstRow="1" w:lastColumn="0" w:lastRow="0" w:noHBand="0" w:noVBand="1" w:val="04A0"/>
      </w:tblPr>
      <w:tblGrid>
        <w:gridCol w:w="4649"/>
        <w:gridCol w:w="4649"/>
      </w:tblGrid>
      <w:tr>
        <w:tc>
          <w:tcPr>
            <w:tcW w:type="dxa" w:w="4649"/>
          </w:tcPr>
          <w:p>
            <w:pPr>
              <w:spacing w:before="160" w:after="40"/>
              <w:jc w:val="center"/>
            </w:pPr>
            <w:r>
              <w:drawing>
                <wp:inline xmlns:a="http://schemas.openxmlformats.org/drawingml/2006/main" xmlns:pic="http://schemas.openxmlformats.org/drawingml/2006/picture">
                  <wp:extent cx="1603306" cy="3383999"/>
                  <wp:docPr id="11" name="Picture 11"/>
                  <wp:cNvGraphicFramePr>
                    <a:graphicFrameLocks noChangeAspect="1"/>
                  </wp:cNvGraphicFramePr>
                  <a:graphic>
                    <a:graphicData uri="http://schemas.openxmlformats.org/drawingml/2006/picture">
                      <pic:pic>
                        <pic:nvPicPr>
                          <pic:cNvPr id="0" name="maq-00-splash.png"/>
                          <pic:cNvPicPr/>
                        </pic:nvPicPr>
                        <pic:blipFill>
                          <a:blip r:embed="rId19"/>
                          <a:stretch>
                            <a:fillRect/>
                          </a:stretch>
                        </pic:blipFill>
                        <pic:spPr>
                          <a:xfrm>
                            <a:off x="0" y="0"/>
                            <a:ext cx="1603306" cy="3383999"/>
                          </a:xfrm>
                          <a:prstGeom prst="rect"/>
                        </pic:spPr>
                      </pic:pic>
                    </a:graphicData>
                  </a:graphic>
                </wp:inline>
              </w:drawing>
            </w:r>
          </w:p>
        </w:tc>
        <w:tc>
          <w:tcPr>
            <w:tcW w:type="dxa" w:w="4649"/>
          </w:tcPr>
          <w:p>
            <w:pPr>
              <w:spacing w:before="160" w:after="40"/>
              <w:jc w:val="center"/>
            </w:pPr>
            <w:r>
              <w:drawing>
                <wp:inline xmlns:a="http://schemas.openxmlformats.org/drawingml/2006/main" xmlns:pic="http://schemas.openxmlformats.org/drawingml/2006/picture">
                  <wp:extent cx="1603306" cy="3383999"/>
                  <wp:docPr id="12" name="Picture 12"/>
                  <wp:cNvGraphicFramePr>
                    <a:graphicFrameLocks noChangeAspect="1"/>
                  </wp:cNvGraphicFramePr>
                  <a:graphic>
                    <a:graphicData uri="http://schemas.openxmlformats.org/drawingml/2006/picture">
                      <pic:pic>
                        <pic:nvPicPr>
                          <pic:cNvPr id="0" name="maq-01-accueil-carte.png"/>
                          <pic:cNvPicPr/>
                        </pic:nvPicPr>
                        <pic:blipFill>
                          <a:blip r:embed="rId20"/>
                          <a:stretch>
                            <a:fillRect/>
                          </a:stretch>
                        </pic:blipFill>
                        <pic:spPr>
                          <a:xfrm>
                            <a:off x="0" y="0"/>
                            <a:ext cx="1603306" cy="3383999"/>
                          </a:xfrm>
                          <a:prstGeom prst="rect"/>
                        </pic:spPr>
                      </pic:pic>
                    </a:graphicData>
                  </a:graphic>
                </wp:inline>
              </w:drawing>
            </w:r>
          </w:p>
        </w:tc>
      </w:tr>
    </w:tbl>
    <w:p>
      <w:pPr>
        <w:spacing w:after="240"/>
        <w:jc w:val="center"/>
      </w:pPr>
      <w:r>
        <w:rPr>
          <w:rFonts w:ascii="IBM Plex Sans" w:hAnsi="IBM Plex Sans" w:cs="IBM Plex Sans" w:eastAsia="IBM Plex Sans"/>
          <w:b/>
          <w:i w:val="0"/>
          <w:color w:val="C62A26"/>
          <w:sz w:val="18"/>
        </w:rPr>
        <w:t xml:space="preserve">Figure 10 — </w:t>
      </w:r>
      <w:r>
        <w:rPr>
          <w:rFonts w:ascii="IBM Plex Sans" w:hAnsi="IBM Plex Sans" w:cs="IBM Plex Sans" w:eastAsia="IBM Plex Sans"/>
          <w:b w:val="0"/>
          <w:i w:val="0"/>
          <w:color w:val="55514A"/>
          <w:sz w:val="18"/>
        </w:rPr>
        <w:t>Écran de lancement avec acquisition de la position, et carte principale avec marqueurs numérotés</w:t>
      </w:r>
    </w:p>
    <w:p>
      <w:pPr>
        <w:spacing w:before="0" w:after="80" w:line="312" w:lineRule="auto"/>
        <w:ind w:firstLine="397"/>
        <w:jc w:val="both"/>
      </w:pPr>
      <w:r>
        <w:rPr>
          <w:rFonts w:ascii="IBM Plex Serif" w:hAnsi="IBM Plex Serif" w:cs="IBM Plex Serif" w:eastAsia="IBM Plex Serif"/>
          <w:b w:val="0"/>
          <w:i w:val="0"/>
          <w:color w:val="1C1A17"/>
          <w:sz w:val="21"/>
        </w:rPr>
        <w:t>L'écran de lancement n'est pas décoratif : il attend le résultat réel de l'acquisition de position. La durée d'affichage minimale qui lui est imposée est un plancher et non un plafond — l'écran ne disparaît jamais avant que la position soit résolue, on empêche seulement qu'un signal obtenu en cent vingt millisecondes produise un clignotement illisible. Si la position ne peut pas être obtenue, l'application s'ouvre quand même : rester bloqué priverait de l'application quelqu'un qui a refusé la permission.</w:t>
      </w:r>
    </w:p>
    <w:p>
      <w:pPr>
        <w:spacing w:before="0" w:after="80" w:line="312" w:lineRule="auto"/>
        <w:ind w:firstLine="397"/>
        <w:jc w:val="both"/>
      </w:pPr>
      <w:r>
        <w:rPr>
          <w:rFonts w:ascii="IBM Plex Serif" w:hAnsi="IBM Plex Serif" w:cs="IBM Plex Serif" w:eastAsia="IBM Plex Serif"/>
          <w:b w:val="0"/>
          <w:i w:val="0"/>
          <w:color w:val="1C1A17"/>
          <w:sz w:val="21"/>
        </w:rPr>
        <w:t>La carte principale porte l'essentiel de l'identité visuelle. Les marqueurs sont des écussons pentagonaux numérotés et non les gouttes par défaut ; un garage certifié est rempli en rouge avec une pastille de validation, un garage non certifié reste blanc avec une bordure d'encre. Le numéro affiché est celui calculé par le serveur. Le bouton d'urgence est l'élément le plus visible de l'écran, ce qui découle directement de l'analyse de la situation d'usage : l'utilisateur est dehors, souvent sous stress, et n'a pas à chercher.</w:t>
      </w:r>
    </w:p>
    <w:p>
      <w:pPr>
        <w:spacing w:before="240" w:after="100"/>
        <w:keepNext w:val="1"/>
      </w:pPr>
      <w:r>
        <w:rPr>
          <w:rFonts w:ascii="IBM Plex Mono" w:hAnsi="IBM Plex Mono" w:cs="IBM Plex Mono" w:eastAsia="IBM Plex Mono"/>
          <w:b/>
          <w:i w:val="0"/>
          <w:color w:val="C62A26"/>
          <w:sz w:val="19"/>
        </w:rPr>
        <w:t xml:space="preserve">8.2.2   </w:t>
      </w:r>
      <w:r>
        <w:rPr>
          <w:rFonts w:ascii="Bebas Neue" w:hAnsi="Bebas Neue" w:cs="Bebas Neue" w:eastAsia="Bebas Neue"/>
          <w:b w:val="0"/>
          <w:i w:val="0"/>
          <w:color w:val="1C1A17"/>
          <w:sz w:val="29"/>
          <w:spacing w:val="10"/>
        </w:rPr>
        <w:t>Déclaration de panne et résultats</w:t>
      </w:r>
    </w:p>
    <w:tbl>
      <w:tblPr>
        <w:tblW w:type="auto" w:w="0"/>
        <w:jc w:val="center"/>
        <w:tblLook w:firstColumn="1" w:firstRow="1" w:lastColumn="0" w:lastRow="0" w:noHBand="0" w:noVBand="1" w:val="04A0"/>
      </w:tblPr>
      <w:tblGrid>
        <w:gridCol w:w="4649"/>
        <w:gridCol w:w="4649"/>
      </w:tblGrid>
      <w:tr>
        <w:tc>
          <w:tcPr>
            <w:tcW w:type="dxa" w:w="4649"/>
          </w:tcPr>
          <w:p>
            <w:pPr>
              <w:spacing w:before="160" w:after="40"/>
              <w:jc w:val="center"/>
            </w:pPr>
            <w:r>
              <w:drawing>
                <wp:inline xmlns:a="http://schemas.openxmlformats.org/drawingml/2006/main" xmlns:pic="http://schemas.openxmlformats.org/drawingml/2006/picture">
                  <wp:extent cx="1603306" cy="3383999"/>
                  <wp:docPr id="13" name="Picture 13"/>
                  <wp:cNvGraphicFramePr>
                    <a:graphicFrameLocks noChangeAspect="1"/>
                  </wp:cNvGraphicFramePr>
                  <a:graphic>
                    <a:graphicData uri="http://schemas.openxmlformats.org/drawingml/2006/picture">
                      <pic:pic>
                        <pic:nvPicPr>
                          <pic:cNvPr id="0" name="maq-02-declarer-panne.png"/>
                          <pic:cNvPicPr/>
                        </pic:nvPicPr>
                        <pic:blipFill>
                          <a:blip r:embed="rId21"/>
                          <a:stretch>
                            <a:fillRect/>
                          </a:stretch>
                        </pic:blipFill>
                        <pic:spPr>
                          <a:xfrm>
                            <a:off x="0" y="0"/>
                            <a:ext cx="1603306" cy="3383999"/>
                          </a:xfrm>
                          <a:prstGeom prst="rect"/>
                        </pic:spPr>
                      </pic:pic>
                    </a:graphicData>
                  </a:graphic>
                </wp:inline>
              </w:drawing>
            </w:r>
          </w:p>
        </w:tc>
        <w:tc>
          <w:tcPr>
            <w:tcW w:type="dxa" w:w="4649"/>
          </w:tcPr>
          <w:p>
            <w:pPr>
              <w:spacing w:before="160" w:after="40"/>
              <w:jc w:val="center"/>
            </w:pPr>
            <w:r>
              <w:drawing>
                <wp:inline xmlns:a="http://schemas.openxmlformats.org/drawingml/2006/main" xmlns:pic="http://schemas.openxmlformats.org/drawingml/2006/picture">
                  <wp:extent cx="1603306" cy="3383999"/>
                  <wp:docPr id="14" name="Picture 14"/>
                  <wp:cNvGraphicFramePr>
                    <a:graphicFrameLocks noChangeAspect="1"/>
                  </wp:cNvGraphicFramePr>
                  <a:graphic>
                    <a:graphicData uri="http://schemas.openxmlformats.org/drawingml/2006/picture">
                      <pic:pic>
                        <pic:nvPicPr>
                          <pic:cNvPr id="0" name="maq-03-resultats-fiche.png"/>
                          <pic:cNvPicPr/>
                        </pic:nvPicPr>
                        <pic:blipFill>
                          <a:blip r:embed="rId22"/>
                          <a:stretch>
                            <a:fillRect/>
                          </a:stretch>
                        </pic:blipFill>
                        <pic:spPr>
                          <a:xfrm>
                            <a:off x="0" y="0"/>
                            <a:ext cx="1603306" cy="3383999"/>
                          </a:xfrm>
                          <a:prstGeom prst="rect"/>
                        </pic:spPr>
                      </pic:pic>
                    </a:graphicData>
                  </a:graphic>
                </wp:inline>
              </w:drawing>
            </w:r>
          </w:p>
        </w:tc>
      </w:tr>
    </w:tbl>
    <w:p>
      <w:pPr>
        <w:spacing w:after="240"/>
        <w:jc w:val="center"/>
      </w:pPr>
      <w:r>
        <w:rPr>
          <w:rFonts w:ascii="IBM Plex Sans" w:hAnsi="IBM Plex Sans" w:cs="IBM Plex Sans" w:eastAsia="IBM Plex Sans"/>
          <w:b/>
          <w:i w:val="0"/>
          <w:color w:val="C62A26"/>
          <w:sz w:val="18"/>
        </w:rPr>
        <w:t xml:space="preserve">Figure 11 — </w:t>
      </w:r>
      <w:r>
        <w:rPr>
          <w:rFonts w:ascii="IBM Plex Sans" w:hAnsi="IBM Plex Sans" w:cs="IBM Plex Sans" w:eastAsia="IBM Plex Sans"/>
          <w:b w:val="0"/>
          <w:i w:val="0"/>
          <w:color w:val="55514A"/>
          <w:sz w:val="18"/>
        </w:rPr>
        <w:t>Déclaration de panne avec tri automatique des problèmes, et résultats classés avec fiche contextuelle</w:t>
      </w:r>
    </w:p>
    <w:p>
      <w:pPr>
        <w:spacing w:before="0" w:after="80" w:line="312" w:lineRule="auto"/>
        <w:ind w:firstLine="397"/>
        <w:jc w:val="both"/>
      </w:pPr>
      <w:r>
        <w:rPr>
          <w:rFonts w:ascii="IBM Plex Serif" w:hAnsi="IBM Plex Serif" w:cs="IBM Plex Serif" w:eastAsia="IBM Plex Serif"/>
          <w:b w:val="0"/>
          <w:i w:val="0"/>
          <w:color w:val="1C1A17"/>
          <w:sz w:val="21"/>
        </w:rPr>
        <w:t>La déclaration de panne est l'écran le plus travaillé de l'application, et son code est le plus volumineux du projet. Le tri automatique visible ici n'est pas un effet d'interface : la liste des problèmes proposés est celle du paquet partagé, ordonnée par véhicule, la panne la plus probable en tête. Choisir une moto ne fait pas seulement disparaître les problèmes de boîte de vitesses, cela remonte la transmission par chaîne et le carburateur.</w:t>
      </w:r>
    </w:p>
    <w:p>
      <w:pPr>
        <w:spacing w:before="0" w:after="80" w:line="312" w:lineRule="auto"/>
        <w:ind w:firstLine="397"/>
        <w:jc w:val="both"/>
      </w:pPr>
      <w:r>
        <w:rPr>
          <w:rFonts w:ascii="IBM Plex Serif" w:hAnsi="IBM Plex Serif" w:cs="IBM Plex Serif" w:eastAsia="IBM Plex Serif"/>
          <w:b w:val="0"/>
          <w:i w:val="0"/>
          <w:color w:val="1C1A17"/>
          <w:sz w:val="21"/>
        </w:rPr>
        <w:t>L'écran de résultats affiche la liste et la carte simultanément, avec la même numérotation. Changer de tri renumérote les marqueurs et la liste ensemble, parce que les deux lisent le même rang venu du serveur. La fiche contextuelle qui s'ouvre au toucher d'un marqueur porte les deux actions qui comptent dans la situation : appeler et calculer l'itinéraire.</w:t>
      </w:r>
    </w:p>
    <w:p>
      <w:pPr>
        <w:spacing w:before="240" w:after="100"/>
        <w:keepNext w:val="1"/>
      </w:pPr>
      <w:r>
        <w:rPr>
          <w:rFonts w:ascii="IBM Plex Mono" w:hAnsi="IBM Plex Mono" w:cs="IBM Plex Mono" w:eastAsia="IBM Plex Mono"/>
          <w:b/>
          <w:i w:val="0"/>
          <w:color w:val="C62A26"/>
          <w:sz w:val="19"/>
        </w:rPr>
        <w:t xml:space="preserve">8.2.3   </w:t>
      </w:r>
      <w:r>
        <w:rPr>
          <w:rFonts w:ascii="Bebas Neue" w:hAnsi="Bebas Neue" w:cs="Bebas Neue" w:eastAsia="Bebas Neue"/>
          <w:b w:val="0"/>
          <w:i w:val="0"/>
          <w:color w:val="1C1A17"/>
          <w:sz w:val="29"/>
          <w:spacing w:val="10"/>
        </w:rPr>
        <w:t>Itinéraire, suivi et avis</w:t>
      </w:r>
    </w:p>
    <w:tbl>
      <w:tblPr>
        <w:tblW w:type="auto" w:w="0"/>
        <w:jc w:val="center"/>
        <w:tblLook w:firstColumn="1" w:firstRow="1" w:lastColumn="0" w:lastRow="0" w:noHBand="0" w:noVBand="1" w:val="04A0"/>
      </w:tblPr>
      <w:tblGrid>
        <w:gridCol w:w="4649"/>
        <w:gridCol w:w="4649"/>
      </w:tblGrid>
      <w:tr>
        <w:tc>
          <w:tcPr>
            <w:tcW w:type="dxa" w:w="4649"/>
          </w:tcPr>
          <w:p>
            <w:pPr>
              <w:spacing w:before="160" w:after="40"/>
              <w:jc w:val="center"/>
            </w:pPr>
            <w:r>
              <w:drawing>
                <wp:inline xmlns:a="http://schemas.openxmlformats.org/drawingml/2006/main" xmlns:pic="http://schemas.openxmlformats.org/drawingml/2006/picture">
                  <wp:extent cx="1603306" cy="3383999"/>
                  <wp:docPr id="15" name="Picture 15"/>
                  <wp:cNvGraphicFramePr>
                    <a:graphicFrameLocks noChangeAspect="1"/>
                  </wp:cNvGraphicFramePr>
                  <a:graphic>
                    <a:graphicData uri="http://schemas.openxmlformats.org/drawingml/2006/picture">
                      <pic:pic>
                        <pic:nvPicPr>
                          <pic:cNvPr id="0" name="maq-04-itineraire-suivi.png"/>
                          <pic:cNvPicPr/>
                        </pic:nvPicPr>
                        <pic:blipFill>
                          <a:blip r:embed="rId23"/>
                          <a:stretch>
                            <a:fillRect/>
                          </a:stretch>
                        </pic:blipFill>
                        <pic:spPr>
                          <a:xfrm>
                            <a:off x="0" y="0"/>
                            <a:ext cx="1603306" cy="3383999"/>
                          </a:xfrm>
                          <a:prstGeom prst="rect"/>
                        </pic:spPr>
                      </pic:pic>
                    </a:graphicData>
                  </a:graphic>
                </wp:inline>
              </w:drawing>
            </w:r>
          </w:p>
        </w:tc>
        <w:tc>
          <w:tcPr>
            <w:tcW w:type="dxa" w:w="4649"/>
          </w:tcPr>
          <w:p>
            <w:pPr>
              <w:spacing w:before="160" w:after="40"/>
              <w:jc w:val="center"/>
            </w:pPr>
            <w:r>
              <w:drawing>
                <wp:inline xmlns:a="http://schemas.openxmlformats.org/drawingml/2006/main" xmlns:pic="http://schemas.openxmlformats.org/drawingml/2006/picture">
                  <wp:extent cx="1603306" cy="3383999"/>
                  <wp:docPr id="16" name="Picture 16"/>
                  <wp:cNvGraphicFramePr>
                    <a:graphicFrameLocks noChangeAspect="1"/>
                  </wp:cNvGraphicFramePr>
                  <a:graphic>
                    <a:graphicData uri="http://schemas.openxmlformats.org/drawingml/2006/picture">
                      <pic:pic>
                        <pic:nvPicPr>
                          <pic:cNvPr id="0" name="maq-05-details-avis.png"/>
                          <pic:cNvPicPr/>
                        </pic:nvPicPr>
                        <pic:blipFill>
                          <a:blip r:embed="rId24"/>
                          <a:stretch>
                            <a:fillRect/>
                          </a:stretch>
                        </pic:blipFill>
                        <pic:spPr>
                          <a:xfrm>
                            <a:off x="0" y="0"/>
                            <a:ext cx="1603306" cy="3383999"/>
                          </a:xfrm>
                          <a:prstGeom prst="rect"/>
                        </pic:spPr>
                      </pic:pic>
                    </a:graphicData>
                  </a:graphic>
                </wp:inline>
              </w:drawing>
            </w:r>
          </w:p>
        </w:tc>
      </w:tr>
    </w:tbl>
    <w:p>
      <w:pPr>
        <w:spacing w:after="240"/>
        <w:jc w:val="center"/>
      </w:pPr>
      <w:r>
        <w:rPr>
          <w:rFonts w:ascii="IBM Plex Sans" w:hAnsi="IBM Plex Sans" w:cs="IBM Plex Sans" w:eastAsia="IBM Plex Sans"/>
          <w:b/>
          <w:i w:val="0"/>
          <w:color w:val="C62A26"/>
          <w:sz w:val="18"/>
        </w:rPr>
        <w:t xml:space="preserve">Figure 12 — </w:t>
      </w:r>
      <w:r>
        <w:rPr>
          <w:rFonts w:ascii="IBM Plex Sans" w:hAnsi="IBM Plex Sans" w:cs="IBM Plex Sans" w:eastAsia="IBM Plex Sans"/>
          <w:b w:val="0"/>
          <w:i w:val="0"/>
          <w:color w:val="55514A"/>
          <w:sz w:val="18"/>
        </w:rPr>
        <w:t>Suivi bidirectionnel avec double estimation d'arrivée, et fiche complète d'un garage avec ses avis</w:t>
      </w:r>
    </w:p>
    <w:p>
      <w:pPr>
        <w:spacing w:before="0" w:after="80" w:line="312" w:lineRule="auto"/>
        <w:ind w:firstLine="397"/>
        <w:jc w:val="both"/>
      </w:pPr>
      <w:r>
        <w:rPr>
          <w:rFonts w:ascii="IBM Plex Serif" w:hAnsi="IBM Plex Serif" w:cs="IBM Plex Serif" w:eastAsia="IBM Plex Serif"/>
          <w:b w:val="0"/>
          <w:i w:val="0"/>
          <w:color w:val="1C1A17"/>
          <w:sz w:val="21"/>
        </w:rPr>
        <w:t>L'écran de suivi affiche les deux temps d'arrivée estimés côte à côte, celui du garagiste vers le client et celui du client vers le garage. Les deux sont calculés par le serveur et identiques des deux côtés. L'indicateur de fraîcheur visible dans le bandeau affiche l'âge réel de la dernière donnée reçue, calculé par différence avec l'horodatage d'émission, et non l'intervalle nominal.</w:t>
      </w:r>
    </w:p>
    <w:p>
      <w:pPr>
        <w:spacing w:before="0" w:after="80" w:line="312" w:lineRule="auto"/>
        <w:ind w:firstLine="397"/>
        <w:jc w:val="both"/>
      </w:pPr>
      <w:r>
        <w:rPr>
          <w:rFonts w:ascii="IBM Plex Serif" w:hAnsi="IBM Plex Serif" w:cs="IBM Plex Serif" w:eastAsia="IBM Plex Serif"/>
          <w:b w:val="0"/>
          <w:i w:val="0"/>
          <w:color w:val="1C1A17"/>
          <w:sz w:val="21"/>
        </w:rPr>
        <w:t>La fiche complète d'un garage présente ses photographies, ses services, ses horaires et ses avis. La note affichée est la note brute ; la note pondérée qui sert au classement n'est pas montrée, parce qu'elle serait incompréhensible pour un utilisateur et que son rôle est de trier, pas d'informer.</w:t>
      </w:r>
    </w:p>
    <w:p>
      <w:pPr>
        <w:spacing w:before="240" w:after="100"/>
        <w:keepNext w:val="1"/>
      </w:pPr>
      <w:r>
        <w:rPr>
          <w:rFonts w:ascii="IBM Plex Mono" w:hAnsi="IBM Plex Mono" w:cs="IBM Plex Mono" w:eastAsia="IBM Plex Mono"/>
          <w:b/>
          <w:i w:val="0"/>
          <w:color w:val="C62A26"/>
          <w:sz w:val="19"/>
        </w:rPr>
        <w:t xml:space="preserve">8.2.4   </w:t>
      </w:r>
      <w:r>
        <w:rPr>
          <w:rFonts w:ascii="Bebas Neue" w:hAnsi="Bebas Neue" w:cs="Bebas Neue" w:eastAsia="Bebas Neue"/>
          <w:b w:val="0"/>
          <w:i w:val="0"/>
          <w:color w:val="1C1A17"/>
          <w:sz w:val="29"/>
          <w:spacing w:val="10"/>
        </w:rPr>
        <w:t>Mode conduite</w:t>
      </w:r>
    </w:p>
    <w:tbl>
      <w:tblPr>
        <w:tblW w:type="auto" w:w="0"/>
        <w:jc w:val="center"/>
        <w:tblLook w:firstColumn="1" w:firstRow="1" w:lastColumn="0" w:lastRow="0" w:noHBand="0" w:noVBand="1" w:val="04A0"/>
      </w:tblPr>
      <w:tblGrid>
        <w:gridCol w:w="4649"/>
        <w:gridCol w:w="4649"/>
      </w:tblGrid>
      <w:tr>
        <w:tc>
          <w:tcPr>
            <w:tcW w:type="dxa" w:w="4649"/>
          </w:tcPr>
          <w:p>
            <w:pPr>
              <w:spacing w:before="160" w:after="40"/>
              <w:jc w:val="center"/>
            </w:pPr>
            <w:r>
              <w:drawing>
                <wp:inline xmlns:a="http://schemas.openxmlformats.org/drawingml/2006/main" xmlns:pic="http://schemas.openxmlformats.org/drawingml/2006/picture">
                  <wp:extent cx="1603306" cy="3383999"/>
                  <wp:docPr id="17" name="Picture 17"/>
                  <wp:cNvGraphicFramePr>
                    <a:graphicFrameLocks noChangeAspect="1"/>
                  </wp:cNvGraphicFramePr>
                  <a:graphic>
                    <a:graphicData uri="http://schemas.openxmlformats.org/drawingml/2006/picture">
                      <pic:pic>
                        <pic:nvPicPr>
                          <pic:cNvPr id="0" name="maq-06-conduite-demarrer.png"/>
                          <pic:cNvPicPr/>
                        </pic:nvPicPr>
                        <pic:blipFill>
                          <a:blip r:embed="rId25"/>
                          <a:stretch>
                            <a:fillRect/>
                          </a:stretch>
                        </pic:blipFill>
                        <pic:spPr>
                          <a:xfrm>
                            <a:off x="0" y="0"/>
                            <a:ext cx="1603306" cy="3383999"/>
                          </a:xfrm>
                          <a:prstGeom prst="rect"/>
                        </pic:spPr>
                      </pic:pic>
                    </a:graphicData>
                  </a:graphic>
                </wp:inline>
              </w:drawing>
            </w:r>
          </w:p>
        </w:tc>
        <w:tc>
          <w:tcPr>
            <w:tcW w:type="dxa" w:w="4649"/>
          </w:tcPr>
          <w:p>
            <w:pPr>
              <w:spacing w:before="160" w:after="40"/>
              <w:jc w:val="center"/>
            </w:pPr>
            <w:r>
              <w:drawing>
                <wp:inline xmlns:a="http://schemas.openxmlformats.org/drawingml/2006/main" xmlns:pic="http://schemas.openxmlformats.org/drawingml/2006/picture">
                  <wp:extent cx="1603306" cy="3383999"/>
                  <wp:docPr id="18" name="Picture 18"/>
                  <wp:cNvGraphicFramePr>
                    <a:graphicFrameLocks noChangeAspect="1"/>
                  </wp:cNvGraphicFramePr>
                  <a:graphic>
                    <a:graphicData uri="http://schemas.openxmlformats.org/drawingml/2006/picture">
                      <pic:pic>
                        <pic:nvPicPr>
                          <pic:cNvPr id="0" name="maq-07-conduite-actif.png"/>
                          <pic:cNvPicPr/>
                        </pic:nvPicPr>
                        <pic:blipFill>
                          <a:blip r:embed="rId26"/>
                          <a:stretch>
                            <a:fillRect/>
                          </a:stretch>
                        </pic:blipFill>
                        <pic:spPr>
                          <a:xfrm>
                            <a:off x="0" y="0"/>
                            <a:ext cx="1603306" cy="3383999"/>
                          </a:xfrm>
                          <a:prstGeom prst="rect"/>
                        </pic:spPr>
                      </pic:pic>
                    </a:graphicData>
                  </a:graphic>
                </wp:inline>
              </w:drawing>
            </w:r>
          </w:p>
        </w:tc>
      </w:tr>
    </w:tbl>
    <w:p>
      <w:pPr>
        <w:spacing w:after="240"/>
        <w:jc w:val="center"/>
      </w:pPr>
      <w:r>
        <w:rPr>
          <w:rFonts w:ascii="IBM Plex Sans" w:hAnsi="IBM Plex Sans" w:cs="IBM Plex Sans" w:eastAsia="IBM Plex Sans"/>
          <w:b/>
          <w:i w:val="0"/>
          <w:color w:val="C62A26"/>
          <w:sz w:val="18"/>
        </w:rPr>
        <w:t xml:space="preserve">Figure 13 — </w:t>
      </w:r>
      <w:r>
        <w:rPr>
          <w:rFonts w:ascii="IBM Plex Sans" w:hAnsi="IBM Plex Sans" w:cs="IBM Plex Sans" w:eastAsia="IBM Plex Sans"/>
          <w:b w:val="0"/>
          <w:i w:val="0"/>
          <w:color w:val="55514A"/>
          <w:sz w:val="18"/>
        </w:rPr>
        <w:t>Mode conduite au repos et en session, avec vitesse, statistiques et pile d'alertes</w:t>
      </w:r>
    </w:p>
    <w:p>
      <w:pPr>
        <w:spacing w:before="0" w:after="80" w:line="312" w:lineRule="auto"/>
        <w:ind w:firstLine="397"/>
        <w:jc w:val="both"/>
      </w:pPr>
      <w:r>
        <w:rPr>
          <w:rFonts w:ascii="IBM Plex Serif" w:hAnsi="IBM Plex Serif" w:cs="IBM Plex Serif" w:eastAsia="IBM Plex Serif"/>
          <w:b w:val="0"/>
          <w:i w:val="0"/>
          <w:color w:val="1C1A17"/>
          <w:sz w:val="21"/>
        </w:rPr>
        <w:t>Le mode conduite affiche la vitesse en grand caractère monospacé, les statistiques de la session en cours et une pile d'alertes horodatées. Les alertes sont produites par une source d'événements simulée, isolée derrière une interface qui définit un contrat minimal : démarrer, arrêter, émettre. Une source réelle branchée sur des capteurs implémenterait la même interface et ne demanderait aucune modification des écrans.</w:t>
      </w:r>
    </w:p>
    <w:p>
      <w:pPr>
        <w:spacing w:before="0" w:after="80" w:line="312" w:lineRule="auto"/>
        <w:ind w:firstLine="397"/>
        <w:jc w:val="both"/>
      </w:pPr>
      <w:r>
        <w:rPr>
          <w:rFonts w:ascii="IBM Plex Serif" w:hAnsi="IBM Plex Serif" w:cs="IBM Plex Serif" w:eastAsia="IBM Plex Serif"/>
          <w:b w:val="0"/>
          <w:i w:val="0"/>
          <w:color w:val="1C1A17"/>
          <w:sz w:val="21"/>
        </w:rPr>
        <w:t>Les sessions sont enregistrées localement pendant leur déroulement et envoyées groupées à la fin, avec un identifiant généré par le mobile qui rend le renvoi idempotent. Une session de conduite ne consomme donc pas de réseau en direct.</w:t>
      </w:r>
    </w:p>
    <w:p>
      <w:pPr>
        <w:spacing w:before="240" w:after="100"/>
        <w:keepNext w:val="1"/>
      </w:pPr>
      <w:r>
        <w:rPr>
          <w:rFonts w:ascii="IBM Plex Mono" w:hAnsi="IBM Plex Mono" w:cs="IBM Plex Mono" w:eastAsia="IBM Plex Mono"/>
          <w:b/>
          <w:i w:val="0"/>
          <w:color w:val="C62A26"/>
          <w:sz w:val="19"/>
        </w:rPr>
        <w:t xml:space="preserve">8.2.5   </w:t>
      </w:r>
      <w:r>
        <w:rPr>
          <w:rFonts w:ascii="Bebas Neue" w:hAnsi="Bebas Neue" w:cs="Bebas Neue" w:eastAsia="Bebas Neue"/>
          <w:b w:val="0"/>
          <w:i w:val="0"/>
          <w:color w:val="1C1A17"/>
          <w:sz w:val="29"/>
          <w:spacing w:val="10"/>
        </w:rPr>
        <w:t>Le choix du mode et la conduite vers l'atelier</w:t>
      </w:r>
    </w:p>
    <w:p>
      <w:pPr>
        <w:spacing w:before="0" w:after="80" w:line="312" w:lineRule="auto"/>
        <w:ind w:firstLine="397"/>
        <w:jc w:val="both"/>
      </w:pPr>
      <w:r>
        <w:rPr>
          <w:rFonts w:ascii="IBM Plex Serif" w:hAnsi="IBM Plex Serif" w:cs="IBM Plex Serif" w:eastAsia="IBM Plex Serif"/>
          <w:b w:val="0"/>
          <w:i w:val="0"/>
          <w:color w:val="1C1A17"/>
          <w:sz w:val="21"/>
        </w:rPr>
        <w:t>Deux écrans sont nés de l'introduction des modes de service, et leur traitement illustre une règle suivie tout au long du projet : séparer plutôt que conditionner.</w:t>
      </w:r>
    </w:p>
    <w:p>
      <w:pPr>
        <w:spacing w:before="0" w:after="80" w:line="312" w:lineRule="auto"/>
        <w:ind w:firstLine="397"/>
        <w:jc w:val="both"/>
      </w:pPr>
      <w:r>
        <w:rPr>
          <w:rFonts w:ascii="IBM Plex Serif" w:hAnsi="IBM Plex Serif" w:cs="IBM Plex Serif" w:eastAsia="IBM Plex Serif"/>
          <w:b w:val="0"/>
          <w:i w:val="0"/>
          <w:color w:val="1C1A17"/>
          <w:sz w:val="21"/>
        </w:rPr>
        <w:t>Le sélecteur de mode s'insère dans la déclaration de panne, après les deux constats — immobilisation, passagers vulnérables — et jamais avant, parce qu'on ne peut pas répondre « je vais au garage » sans avoir d'abord dit si le véhicule roule. Placée plus haut, la question aurait obligé à revenir en arrière. Les deux options sont empilées et non côte à côte : chacune porte sa conséquence en clair, ce qui demande une ligne entière. L'aplat de sélection est en encre et non en rouge, parce que le rouge de ce formulaire appartient au danger et au bouton d'envoi ; l'étendre à une sélection ordinaire le viderait au moment précis où il doit alerter.</w:t>
      </w:r>
    </w:p>
    <w:p>
      <w:pPr>
        <w:spacing w:before="0" w:after="80" w:line="312" w:lineRule="auto"/>
        <w:ind w:firstLine="397"/>
        <w:jc w:val="both"/>
      </w:pPr>
      <w:r>
        <w:rPr>
          <w:rFonts w:ascii="IBM Plex Serif" w:hAnsi="IBM Plex Serif" w:cs="IBM Plex Serif" w:eastAsia="IBM Plex Serif"/>
          <w:b w:val="0"/>
          <w:i w:val="0"/>
          <w:color w:val="1C1A17"/>
          <w:sz w:val="21"/>
        </w:rPr>
        <w:t>Lorsque le véhicule est déclaré immobilisé, le sélecteur ne se grise pas : il disparaît et laisse une phrase explicative. Un choix impossible qu'on grise reste un choix qu'on a proposé, et sur un écran d'urgence chaque option écartée est une seconde gagnée.</w:t>
      </w:r>
    </w:p>
    <w:p>
      <w:pPr>
        <w:spacing w:before="0" w:after="80" w:line="312" w:lineRule="auto"/>
        <w:ind w:firstLine="397"/>
        <w:jc w:val="both"/>
      </w:pPr>
      <w:r>
        <w:rPr>
          <w:rFonts w:ascii="IBM Plex Serif" w:hAnsi="IBM Plex Serif" w:cs="IBM Plex Serif" w:eastAsia="IBM Plex Serif"/>
          <w:b w:val="0"/>
          <w:i w:val="0"/>
          <w:color w:val="1C1A17"/>
          <w:sz w:val="21"/>
        </w:rPr>
        <w:t>Le suivi, lui, aiguille vers deux écrans distincts plutôt que vers un composant à conditions. Sur l'un, on est assis au bord d'une route et l'écran répond à « où en est-il ? » ; sur l'autre, on conduit et il répond à « où je vais ». Les empiler aurait produit un composant dont la moitié des lignes commencent par un test. Le panneau d'information et le rail de progression restent en revanche les mêmes composants dans les deux sens ; seuls trois libellés changent de sujet.</w:t>
      </w:r>
    </w:p>
    <w:p>
      <w:pPr>
        <w:spacing w:before="0" w:after="80" w:line="312" w:lineRule="auto"/>
        <w:ind w:firstLine="397"/>
        <w:jc w:val="both"/>
      </w:pPr>
      <w:r>
        <w:rPr>
          <w:rFonts w:ascii="IBM Plex Serif" w:hAnsi="IBM Plex Serif" w:cs="IBM Plex Serif" w:eastAsia="IBM Plex Serif"/>
          <w:b w:val="0"/>
          <w:i w:val="0"/>
          <w:color w:val="1C1A17"/>
          <w:sz w:val="21"/>
        </w:rPr>
        <w:t>Un détail d'ergonomie mérite d'être signalé parce qu'il est en réalité une décision technique : le bouton « Je pars » n'ouvre aucune boîte de confirmation. Ce bouton ouvre la fenêtre de lecture de la trace, et un geste de plus est un geste qu'on saute — donc un trajet qu'on ne saura pas prouver. Le risque inverse est nul, puisqu'appuyer trop tôt ne fait qu'élargir la fenêtre.</w:t>
      </w:r>
    </w:p>
    <w:p>
      <w:pPr>
        <w:spacing w:before="0" w:after="80" w:line="312" w:lineRule="auto"/>
        <w:ind w:firstLine="397"/>
        <w:jc w:val="both"/>
      </w:pPr>
      <w:r>
        <w:rPr>
          <w:rFonts w:ascii="IBM Plex Serif" w:hAnsi="IBM Plex Serif" w:cs="IBM Plex Serif" w:eastAsia="IBM Plex Serif"/>
          <w:b w:val="0"/>
          <w:i w:val="0"/>
          <w:color w:val="1C1A17"/>
          <w:sz w:val="21"/>
        </w:rPr>
        <w:t>Côté garagiste, l'étiquette signalant que le client se déplace n'apparaît que dans ce cas, sur la file de travail. L'omission est le sujet : le déplacement du garagiste est le cas fondateur, et le marquer sur chaque ligne en ferait un ornement qu'on cesse de voir. Le défaut silencieux est aussi le défaut sûr — un garagiste qui ignore l'existence du marqueur lit une ligne nue et suppose qu'il doit se déplacer, ce qui est exact. Sur la fiche en revanche, un bandeau annonce les deux modes, parce qu'on parcourt une file mais qu'on s'engage sur une fiche, et que l'information manquante y porterait sur la seule chose à préparer avant de répondre : sortir un véhicule, ou ne pas le sortir.</w:t>
      </w:r>
    </w:p>
    <w:p>
      <w:pPr>
        <w:spacing w:before="240" w:after="100"/>
        <w:keepNext w:val="1"/>
      </w:pPr>
      <w:r>
        <w:rPr>
          <w:rFonts w:ascii="IBM Plex Mono" w:hAnsi="IBM Plex Mono" w:cs="IBM Plex Mono" w:eastAsia="IBM Plex Mono"/>
          <w:b/>
          <w:i w:val="0"/>
          <w:color w:val="C62A26"/>
          <w:sz w:val="19"/>
        </w:rPr>
        <w:t xml:space="preserve">8.2.6   </w:t>
      </w:r>
      <w:r>
        <w:rPr>
          <w:rFonts w:ascii="Bebas Neue" w:hAnsi="Bebas Neue" w:cs="Bebas Neue" w:eastAsia="Bebas Neue"/>
          <w:b w:val="0"/>
          <w:i w:val="0"/>
          <w:color w:val="1C1A17"/>
          <w:sz w:val="29"/>
          <w:spacing w:val="10"/>
        </w:rPr>
        <w:t>Fidélité, menu et paramètres</w:t>
      </w:r>
    </w:p>
    <w:tbl>
      <w:tblPr>
        <w:tblW w:type="auto" w:w="0"/>
        <w:jc w:val="center"/>
        <w:tblLook w:firstColumn="1" w:firstRow="1" w:lastColumn="0" w:lastRow="0" w:noHBand="0" w:noVBand="1" w:val="04A0"/>
      </w:tblPr>
      <w:tblGrid>
        <w:gridCol w:w="4649"/>
        <w:gridCol w:w="4649"/>
      </w:tblGrid>
      <w:tr>
        <w:tc>
          <w:tcPr>
            <w:tcW w:type="dxa" w:w="4649"/>
          </w:tcPr>
          <w:p>
            <w:pPr>
              <w:spacing w:before="160" w:after="40"/>
              <w:jc w:val="center"/>
            </w:pPr>
            <w:r>
              <w:drawing>
                <wp:inline xmlns:a="http://schemas.openxmlformats.org/drawingml/2006/main" xmlns:pic="http://schemas.openxmlformats.org/drawingml/2006/picture">
                  <wp:extent cx="1603306" cy="3383999"/>
                  <wp:docPr id="19" name="Picture 19"/>
                  <wp:cNvGraphicFramePr>
                    <a:graphicFrameLocks noChangeAspect="1"/>
                  </wp:cNvGraphicFramePr>
                  <a:graphic>
                    <a:graphicData uri="http://schemas.openxmlformats.org/drawingml/2006/picture">
                      <pic:pic>
                        <pic:nvPicPr>
                          <pic:cNvPr id="0" name="maq-08-profil-fidelite.png"/>
                          <pic:cNvPicPr/>
                        </pic:nvPicPr>
                        <pic:blipFill>
                          <a:blip r:embed="rId27"/>
                          <a:stretch>
                            <a:fillRect/>
                          </a:stretch>
                        </pic:blipFill>
                        <pic:spPr>
                          <a:xfrm>
                            <a:off x="0" y="0"/>
                            <a:ext cx="1603306" cy="3383999"/>
                          </a:xfrm>
                          <a:prstGeom prst="rect"/>
                        </pic:spPr>
                      </pic:pic>
                    </a:graphicData>
                  </a:graphic>
                </wp:inline>
              </w:drawing>
            </w:r>
          </w:p>
        </w:tc>
        <w:tc>
          <w:tcPr>
            <w:tcW w:type="dxa" w:w="4649"/>
          </w:tcPr>
          <w:p>
            <w:pPr>
              <w:spacing w:before="160" w:after="40"/>
              <w:jc w:val="center"/>
            </w:pPr>
            <w:r>
              <w:drawing>
                <wp:inline xmlns:a="http://schemas.openxmlformats.org/drawingml/2006/main" xmlns:pic="http://schemas.openxmlformats.org/drawingml/2006/picture">
                  <wp:extent cx="1603306" cy="3383999"/>
                  <wp:docPr id="20" name="Picture 20"/>
                  <wp:cNvGraphicFramePr>
                    <a:graphicFrameLocks noChangeAspect="1"/>
                  </wp:cNvGraphicFramePr>
                  <a:graphic>
                    <a:graphicData uri="http://schemas.openxmlformats.org/drawingml/2006/picture">
                      <pic:pic>
                        <pic:nvPicPr>
                          <pic:cNvPr id="0" name="maq-09-menu-lateral.png"/>
                          <pic:cNvPicPr/>
                        </pic:nvPicPr>
                        <pic:blipFill>
                          <a:blip r:embed="rId28"/>
                          <a:stretch>
                            <a:fillRect/>
                          </a:stretch>
                        </pic:blipFill>
                        <pic:spPr>
                          <a:xfrm>
                            <a:off x="0" y="0"/>
                            <a:ext cx="1603306" cy="3383999"/>
                          </a:xfrm>
                          <a:prstGeom prst="rect"/>
                        </pic:spPr>
                      </pic:pic>
                    </a:graphicData>
                  </a:graphic>
                </wp:inline>
              </w:drawing>
            </w:r>
          </w:p>
        </w:tc>
      </w:tr>
    </w:tbl>
    <w:p>
      <w:pPr>
        <w:spacing w:after="240"/>
        <w:jc w:val="center"/>
      </w:pPr>
      <w:r>
        <w:rPr>
          <w:rFonts w:ascii="IBM Plex Sans" w:hAnsi="IBM Plex Sans" w:cs="IBM Plex Sans" w:eastAsia="IBM Plex Sans"/>
          <w:b/>
          <w:i w:val="0"/>
          <w:color w:val="C62A26"/>
          <w:sz w:val="18"/>
        </w:rPr>
        <w:t xml:space="preserve">Figure 14 — </w:t>
      </w:r>
      <w:r>
        <w:rPr>
          <w:rFonts w:ascii="IBM Plex Sans" w:hAnsi="IBM Plex Sans" w:cs="IBM Plex Sans" w:eastAsia="IBM Plex Sans"/>
          <w:b w:val="0"/>
          <w:i w:val="0"/>
          <w:color w:val="55514A"/>
          <w:sz w:val="18"/>
        </w:rPr>
        <w:t>Espace de fidélité avec grade et progression, et tiroir latéral de navigation</w:t>
      </w:r>
    </w:p>
    <w:p>
      <w:pPr>
        <w:spacing w:before="0" w:after="80" w:line="312" w:lineRule="auto"/>
        <w:ind w:firstLine="397"/>
        <w:jc w:val="both"/>
      </w:pPr>
      <w:r>
        <w:rPr>
          <w:rFonts w:ascii="IBM Plex Serif" w:hAnsi="IBM Plex Serif" w:cs="IBM Plex Serif" w:eastAsia="IBM Plex Serif"/>
          <w:b w:val="0"/>
          <w:i w:val="0"/>
          <w:color w:val="1C1A17"/>
          <w:sz w:val="21"/>
        </w:rPr>
        <w:t>L'espace de fidélité présente le solde de points, le grade courant et la progression vers le suivant. La distinction entre les deux mesures y est rendue visible : le solde est une monnaie qui peut baisser, le grade une ancienneté qui ne baisse pas. La progression affichée est un compte de réparations terminées, pas un compte de points.</w:t>
      </w:r>
    </w:p>
    <w:p>
      <w:pPr>
        <w:spacing w:before="0" w:after="80" w:line="312" w:lineRule="auto"/>
        <w:ind w:firstLine="397"/>
        <w:jc w:val="both"/>
      </w:pPr>
      <w:r>
        <w:rPr>
          <w:rFonts w:ascii="IBM Plex Serif" w:hAnsi="IBM Plex Serif" w:cs="IBM Plex Serif" w:eastAsia="IBM Plex Serif"/>
          <w:b w:val="0"/>
          <w:i w:val="0"/>
          <w:color w:val="1C1A17"/>
          <w:sz w:val="21"/>
        </w:rPr>
        <w:t>Le tiroir latéral donne accès au profil, à la sécurité, à l'assistance téléphonique, aux paramètres et à l'historique. Son en-tête affiche le grade et le solde en caractère monospacé, conformément à la règle qui veut que toute donnée mesurée le soit.</w:t>
      </w:r>
    </w:p>
    <w:p>
      <w:pPr>
        <w:spacing w:before="200" w:after="80"/>
        <w:jc w:val="center"/>
      </w:pPr>
      <w:r>
        <w:drawing>
          <wp:inline xmlns:a="http://schemas.openxmlformats.org/drawingml/2006/main" xmlns:pic="http://schemas.openxmlformats.org/drawingml/2006/picture">
            <wp:extent cx="2217338" cy="4679999"/>
            <wp:docPr id="21" name="Picture 21"/>
            <wp:cNvGraphicFramePr>
              <a:graphicFrameLocks noChangeAspect="1"/>
            </wp:cNvGraphicFramePr>
            <a:graphic>
              <a:graphicData uri="http://schemas.openxmlformats.org/drawingml/2006/picture">
                <pic:pic>
                  <pic:nvPicPr>
                    <pic:cNvPr id="0" name="maq-10-parametres-sombre.png"/>
                    <pic:cNvPicPr/>
                  </pic:nvPicPr>
                  <pic:blipFill>
                    <a:blip r:embed="rId29"/>
                    <a:stretch>
                      <a:fillRect/>
                    </a:stretch>
                  </pic:blipFill>
                  <pic:spPr>
                    <a:xfrm>
                      <a:off x="0" y="0"/>
                      <a:ext cx="2217338" cy="4679999"/>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15 — </w:t>
      </w:r>
      <w:r>
        <w:rPr>
          <w:rFonts w:ascii="IBM Plex Sans" w:hAnsi="IBM Plex Sans" w:cs="IBM Plex Sans" w:eastAsia="IBM Plex Sans"/>
          <w:b w:val="0"/>
          <w:i w:val="0"/>
          <w:color w:val="55514A"/>
          <w:sz w:val="18"/>
        </w:rPr>
        <w:t>Écran de paramètres en mode sombre</w:t>
      </w:r>
    </w:p>
    <w:p>
      <w:pPr>
        <w:spacing w:before="0" w:after="80" w:line="312" w:lineRule="auto"/>
        <w:ind w:firstLine="397"/>
        <w:jc w:val="both"/>
      </w:pPr>
      <w:r>
        <w:rPr>
          <w:rFonts w:ascii="IBM Plex Serif" w:hAnsi="IBM Plex Serif" w:cs="IBM Plex Serif" w:eastAsia="IBM Plex Serif"/>
          <w:b w:val="0"/>
          <w:i w:val="0"/>
          <w:color w:val="1C1A17"/>
          <w:sz w:val="21"/>
        </w:rPr>
        <w:t>Le mode sombre n'est pas un simple inversement de contraste. Il conserve la chaleur de la palette — le fond sombre reste chaud plutôt que bleuté — parce que basculer sur des gris froids en mode sombre aurait produit deux applications différentes selon le réglage du téléphone. Toutes les couleurs des deux modes sont définies dans un fichier unique de jetons, et aucune couleur n'est écrite en dur dans un composant.</w:t>
      </w:r>
    </w:p>
    <w:p>
      <w:pPr>
        <w:spacing w:before="320" w:after="100"/>
        <w:keepNext w:val="1"/>
      </w:pPr>
      <w:r>
        <w:rPr>
          <w:rFonts w:ascii="IBM Plex Mono" w:hAnsi="IBM Plex Mono" w:cs="IBM Plex Mono" w:eastAsia="IBM Plex Mono"/>
          <w:b/>
          <w:i w:val="0"/>
          <w:color w:val="C62A26"/>
          <w:sz w:val="26"/>
        </w:rPr>
        <w:t xml:space="preserve">8.3   </w:t>
      </w:r>
      <w:r>
        <w:rPr>
          <w:rFonts w:ascii="Bebas Neue" w:hAnsi="Bebas Neue" w:cs="Bebas Neue" w:eastAsia="Bebas Neue"/>
          <w:b w:val="0"/>
          <w:i w:val="0"/>
          <w:color w:val="1C1A17"/>
          <w:sz w:val="36"/>
          <w:spacing w:val="10"/>
        </w:rPr>
        <w:t>Tests et validation</w:t>
      </w:r>
    </w:p>
    <w:p>
      <w:pPr>
        <w:spacing w:before="0" w:after="80" w:line="312" w:lineRule="auto"/>
        <w:ind w:firstLine="397"/>
        <w:jc w:val="both"/>
      </w:pPr>
      <w:r>
        <w:rPr>
          <w:rFonts w:ascii="IBM Plex Serif" w:hAnsi="IBM Plex Serif" w:cs="IBM Plex Serif" w:eastAsia="IBM Plex Serif"/>
          <w:b w:val="0"/>
          <w:i w:val="0"/>
          <w:color w:val="1C1A17"/>
          <w:sz w:val="21"/>
        </w:rPr>
        <w:t>La suite de tests compte trois cent vingt-sept cas répartis en vingt-neuf fichiers.</w:t>
      </w:r>
    </w:p>
    <w:p>
      <w:pPr>
        <w:spacing w:before="200" w:after="80"/>
        <w:keepNext w:val="1"/>
      </w:pPr>
      <w:r>
        <w:rPr>
          <w:rFonts w:ascii="IBM Plex Sans" w:hAnsi="IBM Plex Sans" w:cs="IBM Plex Sans" w:eastAsia="IBM Plex Sans"/>
          <w:b/>
          <w:i w:val="0"/>
          <w:color w:val="C62A26"/>
          <w:sz w:val="18"/>
        </w:rPr>
        <w:t xml:space="preserve">Tableau 31 — </w:t>
      </w:r>
      <w:r>
        <w:rPr>
          <w:rFonts w:ascii="IBM Plex Sans" w:hAnsi="IBM Plex Sans" w:cs="IBM Plex Sans" w:eastAsia="IBM Plex Sans"/>
          <w:b w:val="0"/>
          <w:i w:val="0"/>
          <w:color w:val="55514A"/>
          <w:sz w:val="18"/>
        </w:rPr>
        <w:t>Répartition des tests automatisés</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Suite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Nombre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Base de données requise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Contrats partagés : barème, taxonomie, géométrie, machine à états, preuve d'arrivée, modes de service</w:t>
            </w:r>
          </w:p>
        </w:tc>
        <w:tc>
          <w:tcPr>
            <w:tcW w:type="dxa" w:w="3099"/>
          </w:tcPr>
          <w:p>
            <w:pPr>
              <w:spacing w:before="60" w:after="60" w:line="269" w:lineRule="auto"/>
            </w:pPr>
            <w:r/>
            <w:r>
              <w:rPr>
                <w:rFonts w:ascii="IBM Plex Serif" w:hAnsi="IBM Plex Serif" w:cs="IBM Plex Serif" w:eastAsia="IBM Plex Serif"/>
                <w:b w:val="0"/>
                <w:i w:val="0"/>
                <w:color w:val="1C1A17"/>
                <w:sz w:val="18"/>
              </w:rPr>
              <w:t>119</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Interface de programmation : routes, SQL compilé, calcul d'arrivée, géospatial</w:t>
            </w:r>
          </w:p>
        </w:tc>
        <w:tc>
          <w:tcPr>
            <w:tcW w:type="dxa" w:w="3099"/>
          </w:tcPr>
          <w:p>
            <w:pPr>
              <w:spacing w:before="60" w:after="60" w:line="269" w:lineRule="auto"/>
            </w:pPr>
            <w:r/>
            <w:r>
              <w:rPr>
                <w:rFonts w:ascii="IBM Plex Serif" w:hAnsi="IBM Plex Serif" w:cs="IBM Plex Serif" w:eastAsia="IBM Plex Serif"/>
                <w:b w:val="0"/>
                <w:i w:val="0"/>
                <w:color w:val="1C1A17"/>
                <w:sz w:val="18"/>
              </w:rPr>
              <w:t>63</w:t>
            </w:r>
          </w:p>
        </w:tc>
        <w:tc>
          <w:tcPr>
            <w:tcW w:type="dxa" w:w="3099"/>
          </w:tcPr>
          <w:p>
            <w:pPr>
              <w:spacing w:before="60" w:after="60" w:line="269" w:lineRule="auto"/>
            </w:pPr>
            <w:r/>
            <w:r>
              <w:rPr>
                <w:rFonts w:ascii="IBM Plex Serif" w:hAnsi="IBM Plex Serif" w:cs="IBM Plex Serif" w:eastAsia="IBM Plex Serif"/>
                <w:b w:val="0"/>
                <w:i w:val="0"/>
                <w:color w:val="1C1A17"/>
                <w:sz w:val="18"/>
              </w:rPr>
              <w:t>Partiellement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Mobile : filtre de position, moteur de simulation, file de travail, style de carte, historique</w:t>
            </w:r>
          </w:p>
        </w:tc>
        <w:tc>
          <w:tcPr>
            <w:tcW w:type="dxa" w:w="3099"/>
          </w:tcPr>
          <w:p>
            <w:pPr>
              <w:spacing w:before="60" w:after="60" w:line="269" w:lineRule="auto"/>
            </w:pPr>
            <w:r/>
            <w:r>
              <w:rPr>
                <w:rFonts w:ascii="IBM Plex Serif" w:hAnsi="IBM Plex Serif" w:cs="IBM Plex Serif" w:eastAsia="IBM Plex Serif"/>
                <w:b w:val="0"/>
                <w:i w:val="0"/>
                <w:color w:val="1C1A17"/>
                <w:sz w:val="18"/>
              </w:rPr>
              <w:t>145</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Les tests géospatiaux exigent une véritable instance PostgreSQL avec son extension. Aucune base en mémoire ne sait exécuter la fonction de filtrage par distance, et tester la requête centrale du produit contre une imitation ne prouverait rien. Ces tests sont donc ignorés par défaut et ne s'exécutent que si une base de test est explicitement fournie, sur une branche dédiée puisque la suite réinitialise le schéma.</w:t>
      </w:r>
    </w:p>
    <w:p>
      <w:pPr>
        <w:spacing w:before="0" w:after="80" w:line="312" w:lineRule="auto"/>
        <w:ind w:firstLine="397"/>
        <w:jc w:val="both"/>
      </w:pPr>
      <w:r>
        <w:rPr>
          <w:rFonts w:ascii="IBM Plex Serif" w:hAnsi="IBM Plex Serif" w:cs="IBM Plex Serif" w:eastAsia="IBM Plex Serif"/>
          <w:b w:val="0"/>
          <w:i w:val="0"/>
          <w:color w:val="1C1A17"/>
          <w:sz w:val="21"/>
        </w:rPr>
        <w:t>Le test le plus intéressant du lot ne vérifie pas un résultat mais un plan d'exécution : il exige que la recherche de proximité passe par un parcours d'index géospatial et non par un parcours séquentiel. C'est une exigence non fonctionnelle transformée en test, et c'est la seule manière d'empêcher une régression de performance de passer inaperçue pendant six mois.</w:t>
      </w:r>
    </w:p>
    <w:p>
      <w:pPr>
        <w:spacing w:before="320" w:after="100"/>
        <w:keepNext w:val="1"/>
      </w:pPr>
      <w:r>
        <w:rPr>
          <w:rFonts w:ascii="IBM Plex Mono" w:hAnsi="IBM Plex Mono" w:cs="IBM Plex Mono" w:eastAsia="IBM Plex Mono"/>
          <w:b/>
          <w:i w:val="0"/>
          <w:color w:val="C62A26"/>
          <w:sz w:val="26"/>
        </w:rPr>
        <w:t xml:space="preserve">8.4   </w:t>
      </w:r>
      <w:r>
        <w:rPr>
          <w:rFonts w:ascii="Bebas Neue" w:hAnsi="Bebas Neue" w:cs="Bebas Neue" w:eastAsia="Bebas Neue"/>
          <w:b w:val="0"/>
          <w:i w:val="0"/>
          <w:color w:val="1C1A17"/>
          <w:sz w:val="36"/>
          <w:spacing w:val="10"/>
        </w:rPr>
        <w:t>Ce qui reste à faire</w:t>
      </w:r>
    </w:p>
    <w:p>
      <w:pPr>
        <w:spacing w:before="0" w:after="80" w:line="312" w:lineRule="auto"/>
        <w:ind w:firstLine="397"/>
        <w:jc w:val="both"/>
      </w:pPr>
      <w:r>
        <w:rPr>
          <w:rFonts w:ascii="IBM Plex Serif" w:hAnsi="IBM Plex Serif" w:cs="IBM Plex Serif" w:eastAsia="IBM Plex Serif"/>
          <w:b w:val="0"/>
          <w:i w:val="0"/>
          <w:color w:val="1C1A17"/>
          <w:sz w:val="21"/>
        </w:rPr>
        <w:t>Le document serait incomplet s'il ne disait pas ce qui n'est pas fait.</w:t>
      </w:r>
    </w:p>
    <w:p>
      <w:pPr>
        <w:spacing w:before="0" w:after="80" w:line="312" w:lineRule="auto"/>
        <w:ind w:firstLine="397"/>
        <w:jc w:val="both"/>
      </w:pPr>
      <w:r>
        <w:rPr>
          <w:rFonts w:ascii="IBM Plex Serif" w:hAnsi="IBM Plex Serif" w:cs="IBM Plex Serif" w:eastAsia="IBM Plex Serif"/>
          <w:b w:val="0"/>
          <w:i w:val="0"/>
          <w:color w:val="1C1A17"/>
          <w:sz w:val="21"/>
        </w:rPr>
        <w:t>La campagne d'essais sur appareil est le point bloquant principal. La couche cartographique est écrite et les deux plateformes se compilent, mais le rendu réel ne se vérifie que sur un téléphone, avec une version installable construite pour l'occasion. Trois choses y seront mesurées : que la carte s'affiche avec les bonnes couleurs, que la nouvelle architecture de la plateforme ne provoque pas d'écran vide au montage, et que la fluidité tient soixante images par seconde avec vingt marqueurs sur un appareil de milieu de gamme. Les captures d'écran réelles seront produites à cette occasion et remplaceront les maquettes de ce chapitre.</w:t>
      </w:r>
    </w:p>
    <w:p>
      <w:pPr>
        <w:spacing w:before="0" w:after="80" w:line="312" w:lineRule="auto"/>
        <w:ind w:firstLine="397"/>
        <w:jc w:val="both"/>
      </w:pPr>
      <w:r>
        <w:rPr>
          <w:rFonts w:ascii="IBM Plex Serif" w:hAnsi="IBM Plex Serif" w:cs="IBM Plex Serif" w:eastAsia="IBM Plex Serif"/>
          <w:b w:val="0"/>
          <w:i w:val="0"/>
          <w:color w:val="1C1A17"/>
          <w:sz w:val="21"/>
        </w:rPr>
        <w:t>Le moteur d'itinéraire auto-hébergé n'est pas déployé. Tant qu'il ne l'est pas, la durée de trajet reste approchée géométriquement et signalée comme provisoire dans l'interface.</w:t>
      </w:r>
    </w:p>
    <w:p>
      <w:pPr>
        <w:spacing w:before="0" w:after="80" w:line="312" w:lineRule="auto"/>
        <w:ind w:firstLine="397"/>
        <w:jc w:val="both"/>
      </w:pPr>
      <w:r>
        <w:rPr>
          <w:rFonts w:ascii="IBM Plex Serif" w:hAnsi="IBM Plex Serif" w:cs="IBM Plex Serif" w:eastAsia="IBM Plex Serif"/>
          <w:b w:val="0"/>
          <w:i w:val="0"/>
          <w:color w:val="1C1A17"/>
          <w:sz w:val="21"/>
        </w:rPr>
        <w:t>Les notifications par poussée sont préparées côté routes mais non branchées. Il en va de même pour les liens profonds, dont l'infrastructure de navigation est prête.</w:t>
      </w:r>
    </w:p>
    <w:p>
      <w:pPr>
        <w:spacing w:before="0" w:after="80" w:line="312" w:lineRule="auto"/>
        <w:ind w:firstLine="397"/>
        <w:jc w:val="both"/>
      </w:pPr>
      <w:r>
        <w:rPr>
          <w:rFonts w:ascii="IBM Plex Serif" w:hAnsi="IBM Plex Serif" w:cs="IBM Plex Serif" w:eastAsia="IBM Plex Serif"/>
          <w:b w:val="0"/>
          <w:i w:val="0"/>
          <w:color w:val="1C1A17"/>
          <w:sz w:val="21"/>
        </w:rPr>
        <w:t>L'écran de sécurité et l'interface anglaise restent à produire, cette dernière disposant déjà de tous ses libellés métier côté serveur.</w:t>
      </w:r>
    </w:p>
    <w:p>
      <w:pPr>
        <w:spacing w:before="0" w:after="80" w:line="312" w:lineRule="auto"/>
        <w:ind w:firstLine="397"/>
        <w:jc w:val="both"/>
      </w:pPr>
      <w:r>
        <w:rPr>
          <w:rFonts w:ascii="IBM Plex Serif" w:hAnsi="IBM Plex Serif" w:cs="IBM Plex Serif" w:eastAsia="IBM Plex Serif"/>
          <w:b w:val="0"/>
          <w:i w:val="0"/>
          <w:color w:val="1C1A17"/>
          <w:sz w:val="21"/>
        </w:rPr>
        <w:t>Enfin, les seuils du dispositif anti-fraude et ceux de la preuve d'arrivée sont posés dans le code mais n'ont jamais été confrontés à des données réelles. Le script d'étalonnage existe et ne modifie rien ; il reste à le relancer maintenant que les deux modes de service coexistent, car les seuils ont été calibrés sur des dépanneuses et rien ne dit encore qu'ils conviennent à des clients au volant. Ce sont des valeurs qui se calibrent sur le terrain, pas sur une intuition.</w:t>
      </w:r>
    </w:p>
    <w:p>
      <w:pPr>
        <w:pageBreakBefore w:val="1"/>
        <w:spacing w:before="0" w:after="40"/>
      </w:pPr>
      <w:r>
        <w:rPr>
          <w:rFonts w:ascii="Bebas Neue" w:hAnsi="Bebas Neue" w:cs="Bebas Neue" w:eastAsia="Bebas Neue"/>
          <w:b w:val="0"/>
          <w:i w:val="0"/>
          <w:color w:val="C62A26"/>
          <w:sz w:val="22"/>
          <w:spacing w:val="38"/>
        </w:rPr>
        <w:t>CHAPITRE 9</w:t>
      </w:r>
    </w:p>
    <w:p>
      <w:pPr>
        <w:spacing w:after="320"/>
        <w:pBdr>
          <w:bottom w:val="single" w:sz="10" w:space="8" w:color="C62A26"/>
        </w:pBdr>
        <w:keepNext w:val="1"/>
      </w:pPr>
      <w:r>
        <w:rPr>
          <w:rFonts w:ascii="Bebas Neue" w:hAnsi="Bebas Neue" w:cs="Bebas Neue" w:eastAsia="Bebas Neue"/>
          <w:b w:val="0"/>
          <w:i w:val="0"/>
          <w:color w:val="1C1A17"/>
          <w:sz w:val="54"/>
          <w:spacing w:val="10"/>
        </w:rPr>
        <w:t>Conclusion</w:t>
      </w:r>
    </w:p>
    <w:p>
      <w:pPr>
        <w:spacing w:before="320" w:after="100"/>
        <w:keepNext w:val="1"/>
      </w:pPr>
      <w:r>
        <w:rPr>
          <w:rFonts w:ascii="IBM Plex Mono" w:hAnsi="IBM Plex Mono" w:cs="IBM Plex Mono" w:eastAsia="IBM Plex Mono"/>
          <w:b/>
          <w:i w:val="0"/>
          <w:color w:val="C62A26"/>
          <w:sz w:val="26"/>
        </w:rPr>
        <w:t xml:space="preserve">9.1   </w:t>
      </w:r>
      <w:r>
        <w:rPr>
          <w:rFonts w:ascii="Bebas Neue" w:hAnsi="Bebas Neue" w:cs="Bebas Neue" w:eastAsia="Bebas Neue"/>
          <w:b w:val="0"/>
          <w:i w:val="0"/>
          <w:color w:val="1C1A17"/>
          <w:sz w:val="36"/>
          <w:spacing w:val="10"/>
        </w:rPr>
        <w:t>Bilan</w:t>
      </w:r>
    </w:p>
    <w:p>
      <w:pPr>
        <w:spacing w:before="0" w:after="80" w:line="312" w:lineRule="auto"/>
        <w:ind w:firstLine="397"/>
        <w:jc w:val="both"/>
      </w:pPr>
      <w:r>
        <w:rPr>
          <w:rFonts w:ascii="IBM Plex Serif" w:hAnsi="IBM Plex Serif" w:cs="IBM Plex Serif" w:eastAsia="IBM Plex Serif"/>
          <w:b w:val="0"/>
          <w:i w:val="0"/>
          <w:color w:val="1C1A17"/>
          <w:sz w:val="21"/>
        </w:rPr>
        <w:t>Le projet partait d'une observation simple : entre le moment où un véhicule s'immobilise à Yaoundé et celui où un professionnel se trouve à côté de lui, l'essentiel du temps perdu ne l'est pas à réparer, il l'est à trouver et à se trouver. GeoCras s'attaque à cette portion-là du problème, et l'application livrée le fait de bout en bout : la position remplace la description, le classement remplace la mémoire, le suivi remplace le rappel, et la trace remplace l'oubli.</w:t>
      </w:r>
    </w:p>
    <w:p>
      <w:pPr>
        <w:spacing w:before="0" w:after="80" w:line="312" w:lineRule="auto"/>
        <w:ind w:firstLine="397"/>
        <w:jc w:val="both"/>
      </w:pPr>
      <w:r>
        <w:rPr>
          <w:rFonts w:ascii="IBM Plex Serif" w:hAnsi="IBM Plex Serif" w:cs="IBM Plex Serif" w:eastAsia="IBM Plex Serif"/>
          <w:b w:val="0"/>
          <w:i w:val="0"/>
          <w:color w:val="1C1A17"/>
          <w:sz w:val="21"/>
        </w:rPr>
        <w:t>Sur le plan technique, trois décisions structurent le résultat et paraissent, avec le recul, avoir été les bonnes. Le paquet de contrats partagés a supprimé une classe entière de défauts, ceux où les deux extrémités interprètent différemment la même donnée. L'inscription des règles métier sensibles dans le schéma de la base a produit des garanties qui ne dépendent d'aucune discipline de développement future. Et la conception du mode dégradé comme un mode de fonctionnement à part entière, plutôt que comme une gestion d'erreur, a donné une application qui reste honnête quand le réseau ne l'est plus.</w:t>
      </w:r>
    </w:p>
    <w:p>
      <w:pPr>
        <w:spacing w:before="0" w:after="80" w:line="312" w:lineRule="auto"/>
        <w:ind w:firstLine="397"/>
        <w:jc w:val="both"/>
      </w:pPr>
      <w:r>
        <w:rPr>
          <w:rFonts w:ascii="IBM Plex Serif" w:hAnsi="IBM Plex Serif" w:cs="IBM Plex Serif" w:eastAsia="IBM Plex Serif"/>
          <w:b w:val="0"/>
          <w:i w:val="0"/>
          <w:color w:val="1C1A17"/>
          <w:sz w:val="21"/>
        </w:rPr>
        <w:t>Sur le plan de la méthode, le fait d'avoir dessiné les onze écrans avant d'écrire du code a eu des effets que l'on n'attendait pas au départ. Plusieurs décisions de modélisation en découlent directement — le calcul du rang en SQL, par exemple, est une exigence d'interface transformée en contrainte de requête. Une maquette qui fait autorité oblige à résoudre les problèmes dans le bon ordre.</w:t>
      </w:r>
    </w:p>
    <w:p>
      <w:pPr>
        <w:spacing w:before="320" w:after="100"/>
        <w:keepNext w:val="1"/>
      </w:pPr>
      <w:r>
        <w:rPr>
          <w:rFonts w:ascii="IBM Plex Mono" w:hAnsi="IBM Plex Mono" w:cs="IBM Plex Mono" w:eastAsia="IBM Plex Mono"/>
          <w:b/>
          <w:i w:val="0"/>
          <w:color w:val="C62A26"/>
          <w:sz w:val="26"/>
        </w:rPr>
        <w:t xml:space="preserve">9.2   </w:t>
      </w:r>
      <w:r>
        <w:rPr>
          <w:rFonts w:ascii="Bebas Neue" w:hAnsi="Bebas Neue" w:cs="Bebas Neue" w:eastAsia="Bebas Neue"/>
          <w:b w:val="0"/>
          <w:i w:val="0"/>
          <w:color w:val="1C1A17"/>
          <w:sz w:val="36"/>
          <w:spacing w:val="10"/>
        </w:rPr>
        <w:t>Limites</w:t>
      </w:r>
    </w:p>
    <w:p>
      <w:pPr>
        <w:spacing w:before="0" w:after="80" w:line="312" w:lineRule="auto"/>
        <w:ind w:firstLine="397"/>
        <w:jc w:val="both"/>
      </w:pPr>
      <w:r>
        <w:rPr>
          <w:rFonts w:ascii="IBM Plex Serif" w:hAnsi="IBM Plex Serif" w:cs="IBM Plex Serif" w:eastAsia="IBM Plex Serif"/>
          <w:b w:val="0"/>
          <w:i w:val="0"/>
          <w:color w:val="1C1A17"/>
          <w:sz w:val="21"/>
        </w:rPr>
        <w:t>Trois limites doivent être énoncées sans les atténuer.</w:t>
      </w:r>
    </w:p>
    <w:p>
      <w:pPr>
        <w:spacing w:before="0" w:after="80" w:line="312" w:lineRule="auto"/>
        <w:ind w:firstLine="397"/>
        <w:jc w:val="both"/>
      </w:pPr>
      <w:r>
        <w:rPr>
          <w:rFonts w:ascii="IBM Plex Serif" w:hAnsi="IBM Plex Serif" w:cs="IBM Plex Serif" w:eastAsia="IBM Plex Serif"/>
          <w:b w:val="0"/>
          <w:i w:val="0"/>
          <w:color w:val="1C1A17"/>
          <w:sz w:val="21"/>
        </w:rPr>
        <w:t>La première est que le mode conduite ne mesure rien. Il est architecturé pour accueillir des capteurs réels, mais dans sa version actuelle il simule, et cette simulation ne doit jamais être présentée comme autre chose.</w:t>
      </w:r>
    </w:p>
    <w:p>
      <w:pPr>
        <w:spacing w:before="0" w:after="80" w:line="312" w:lineRule="auto"/>
        <w:ind w:firstLine="397"/>
        <w:jc w:val="both"/>
      </w:pPr>
      <w:r>
        <w:rPr>
          <w:rFonts w:ascii="IBM Plex Serif" w:hAnsi="IBM Plex Serif" w:cs="IBM Plex Serif" w:eastAsia="IBM Plex Serif"/>
          <w:b w:val="0"/>
          <w:i w:val="0"/>
          <w:color w:val="1C1A17"/>
          <w:sz w:val="21"/>
        </w:rPr>
        <w:t>La deuxième est que le dispositif anti-fraude n'a pas été éprouvé. Il repose sur un raisonnement solide et sur des seuils argumentés, mais aucun de ces seuils n'a rencontré une tentative réelle. Il faut s'attendre à devoir les corriger.</w:t>
      </w:r>
    </w:p>
    <w:p>
      <w:pPr>
        <w:spacing w:before="0" w:after="80" w:line="312" w:lineRule="auto"/>
        <w:ind w:firstLine="397"/>
        <w:jc w:val="both"/>
      </w:pPr>
      <w:r>
        <w:rPr>
          <w:rFonts w:ascii="IBM Plex Serif" w:hAnsi="IBM Plex Serif" w:cs="IBM Plex Serif" w:eastAsia="IBM Plex Serif"/>
          <w:b w:val="0"/>
          <w:i w:val="0"/>
          <w:color w:val="1C1A17"/>
          <w:sz w:val="21"/>
        </w:rPr>
        <w:t>La troisième est que l'application n'a pas encore tourné sur un appareil en conditions réelles, à Yaoundé ou à Ebolowa, en réseau 3G, dans la rue. C'est la seule épreuve qui compte vraiment pour un produit dont toutes les hypothèses portent sur le terrain, et elle reste devant.</w:t>
      </w:r>
    </w:p>
    <w:p>
      <w:pPr>
        <w:spacing w:before="320" w:after="100"/>
        <w:keepNext w:val="1"/>
      </w:pPr>
      <w:r>
        <w:rPr>
          <w:rFonts w:ascii="IBM Plex Mono" w:hAnsi="IBM Plex Mono" w:cs="IBM Plex Mono" w:eastAsia="IBM Plex Mono"/>
          <w:b/>
          <w:i w:val="0"/>
          <w:color w:val="C62A26"/>
          <w:sz w:val="26"/>
        </w:rPr>
        <w:t xml:space="preserve">9.3   </w:t>
      </w:r>
      <w:r>
        <w:rPr>
          <w:rFonts w:ascii="Bebas Neue" w:hAnsi="Bebas Neue" w:cs="Bebas Neue" w:eastAsia="Bebas Neue"/>
          <w:b w:val="0"/>
          <w:i w:val="0"/>
          <w:color w:val="1C1A17"/>
          <w:sz w:val="36"/>
          <w:spacing w:val="10"/>
        </w:rPr>
        <w:t>Perspectives</w:t>
      </w:r>
    </w:p>
    <w:p>
      <w:pPr>
        <w:spacing w:before="0" w:after="80" w:line="312" w:lineRule="auto"/>
        <w:ind w:firstLine="397"/>
        <w:jc w:val="both"/>
      </w:pPr>
      <w:r>
        <w:rPr>
          <w:rFonts w:ascii="IBM Plex Serif" w:hAnsi="IBM Plex Serif" w:cs="IBM Plex Serif" w:eastAsia="IBM Plex Serif"/>
          <w:b w:val="0"/>
          <w:i w:val="0"/>
          <w:color w:val="1C1A17"/>
          <w:sz w:val="21"/>
        </w:rPr>
        <w:t>À court terme, la campagne d'essais sur appareil est prioritaire, suivie du déploiement du moteur d'itinéraire et du branchement des notifications.</w:t>
      </w:r>
    </w:p>
    <w:p>
      <w:pPr>
        <w:spacing w:before="0" w:after="80" w:line="312" w:lineRule="auto"/>
        <w:ind w:firstLine="397"/>
        <w:jc w:val="both"/>
      </w:pPr>
      <w:r>
        <w:rPr>
          <w:rFonts w:ascii="IBM Plex Serif" w:hAnsi="IBM Plex Serif" w:cs="IBM Plex Serif" w:eastAsia="IBM Plex Serif"/>
          <w:b w:val="0"/>
          <w:i w:val="0"/>
          <w:color w:val="1C1A17"/>
          <w:sz w:val="21"/>
        </w:rPr>
        <w:t>À moyen terme, le service gagnerait un espace d'administration pour le traitement des dossiers de garage, aujourd'hui manuel, et une interface anglaise dont l'essentiel du travail est déjà fait côté serveur.</w:t>
      </w:r>
    </w:p>
    <w:p>
      <w:pPr>
        <w:spacing w:before="0" w:after="80" w:line="312" w:lineRule="auto"/>
        <w:ind w:firstLine="397"/>
        <w:jc w:val="both"/>
      </w:pPr>
      <w:r>
        <w:rPr>
          <w:rFonts w:ascii="IBM Plex Serif" w:hAnsi="IBM Plex Serif" w:cs="IBM Plex Serif" w:eastAsia="IBM Plex Serif"/>
          <w:b w:val="0"/>
          <w:i w:val="0"/>
          <w:color w:val="1C1A17"/>
          <w:sz w:val="21"/>
        </w:rPr>
        <w:t>Le changement de mode en cours d'intervention est un manque connu : un client qui annonce venir puis dont la voiture cale doit aujourd'hui annuler et refaire une demande. Le corriger suppose l'accord des deux parties, donc un état de négociation dans la machine à états et le traitement du refus. La structure est prête — le mode vit dans une colonne modifiable, doublée d'un événement de journal qui conserverait l'historique du changement — mais le travail ne se justifiera qu'une fois connue la fréquence réelle du cas.</w:t>
      </w:r>
    </w:p>
    <w:p>
      <w:pPr>
        <w:spacing w:before="0" w:after="80" w:line="312" w:lineRule="auto"/>
        <w:ind w:firstLine="397"/>
        <w:jc w:val="both"/>
      </w:pPr>
      <w:r>
        <w:rPr>
          <w:rFonts w:ascii="IBM Plex Serif" w:hAnsi="IBM Plex Serif" w:cs="IBM Plex Serif" w:eastAsia="IBM Plex Serif"/>
          <w:b w:val="0"/>
          <w:i w:val="0"/>
          <w:color w:val="1C1A17"/>
          <w:sz w:val="21"/>
        </w:rPr>
        <w:t>À plus long terme, deux directions ouvrent le produit. La première est la conversion des points en Mobile Money, qui suppose que le dispositif anti-fraude ait fait ses preuves sur des données réelles et qui restera assortie d'une revue humaine sur les montants significatifs. La seconde est l'extension à Douala puis aux autres villes, qui ne demande aucun travail d'ingénierie particulier — le modèle n'a rien de spécifique aux deux villes de lancement — mais qui demande un travail de terrain considérable, puisqu'il faut constituer et vérifier une base de garages ville par ville. C'est d'ailleurs le vrai actif du produit : le code se réécrit, la base de garages vérifiés ne se réécrit pas.</w:t>
      </w:r>
    </w:p>
    <w:p>
      <w:pPr>
        <w:spacing w:before="320" w:after="100"/>
        <w:keepNext w:val="1"/>
      </w:pPr>
      <w:r>
        <w:rPr>
          <w:rFonts w:ascii="IBM Plex Mono" w:hAnsi="IBM Plex Mono" w:cs="IBM Plex Mono" w:eastAsia="IBM Plex Mono"/>
          <w:b/>
          <w:i w:val="0"/>
          <w:color w:val="C62A26"/>
          <w:sz w:val="26"/>
        </w:rPr>
        <w:t xml:space="preserve">9.4   </w:t>
      </w:r>
      <w:r>
        <w:rPr>
          <w:rFonts w:ascii="Bebas Neue" w:hAnsi="Bebas Neue" w:cs="Bebas Neue" w:eastAsia="Bebas Neue"/>
          <w:b w:val="0"/>
          <w:i w:val="0"/>
          <w:color w:val="1C1A17"/>
          <w:sz w:val="36"/>
          <w:spacing w:val="10"/>
        </w:rPr>
        <w:t>Références</w:t>
      </w:r>
    </w:p>
    <w:p>
      <w:pPr>
        <w:spacing w:before="200" w:after="80"/>
        <w:keepNext w:val="1"/>
      </w:pPr>
      <w:r>
        <w:rPr>
          <w:rFonts w:ascii="IBM Plex Sans" w:hAnsi="IBM Plex Sans" w:cs="IBM Plex Sans" w:eastAsia="IBM Plex Sans"/>
          <w:b/>
          <w:i w:val="0"/>
          <w:color w:val="C62A26"/>
          <w:sz w:val="18"/>
        </w:rPr>
        <w:t xml:space="preserve">Tableau 32 — </w:t>
      </w:r>
      <w:r>
        <w:rPr>
          <w:rFonts w:ascii="IBM Plex Sans" w:hAnsi="IBM Plex Sans" w:cs="IBM Plex Sans" w:eastAsia="IBM Plex Sans"/>
          <w:b w:val="0"/>
          <w:i w:val="0"/>
          <w:color w:val="55514A"/>
          <w:sz w:val="18"/>
        </w:rPr>
        <w:t>Ressources et documentation de référence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Domaine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Ressource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Extension géospatiale PostgreSQL</w:t>
            </w:r>
          </w:p>
        </w:tc>
        <w:tc>
          <w:tcPr>
            <w:tcW w:type="dxa" w:w="4649"/>
          </w:tcPr>
          <w:p>
            <w:pPr>
              <w:spacing w:before="60" w:after="60" w:line="269" w:lineRule="auto"/>
            </w:pPr>
            <w:r/>
            <w:r>
              <w:rPr>
                <w:rFonts w:ascii="IBM Plex Serif" w:hAnsi="IBM Plex Serif" w:cs="IBM Plex Serif" w:eastAsia="IBM Plex Serif"/>
                <w:b w:val="0"/>
                <w:i w:val="0"/>
                <w:color w:val="1C1A17"/>
                <w:sz w:val="18"/>
              </w:rPr>
              <w:t>Documentation des fonctions de distance, des types géographiques et des index GIST</w:t>
            </w:r>
          </w:p>
        </w:tc>
      </w:tr>
      <w:tr>
        <w:tc>
          <w:tcPr>
            <w:tcW w:type="dxa" w:w="4649"/>
          </w:tcPr>
          <w:p>
            <w:pPr>
              <w:spacing w:before="60" w:after="60" w:line="269" w:lineRule="auto"/>
            </w:pPr>
            <w:r/>
            <w:r>
              <w:rPr>
                <w:rFonts w:ascii="IBM Plex Serif" w:hAnsi="IBM Plex Serif" w:cs="IBM Plex Serif" w:eastAsia="IBM Plex Serif"/>
                <w:b w:val="0"/>
                <w:i w:val="0"/>
                <w:color w:val="1C1A17"/>
                <w:sz w:val="18"/>
              </w:rPr>
              <w:t>Plateforme mobile</w:t>
            </w:r>
          </w:p>
        </w:tc>
        <w:tc>
          <w:tcPr>
            <w:tcW w:type="dxa" w:w="4649"/>
          </w:tcPr>
          <w:p>
            <w:pPr>
              <w:spacing w:before="60" w:after="60" w:line="269" w:lineRule="auto"/>
            </w:pPr>
            <w:r/>
            <w:r>
              <w:rPr>
                <w:rFonts w:ascii="IBM Plex Serif" w:hAnsi="IBM Plex Serif" w:cs="IBM Plex Serif" w:eastAsia="IBM Plex Serif"/>
                <w:b w:val="0"/>
                <w:i w:val="0"/>
                <w:color w:val="1C1A17"/>
                <w:sz w:val="18"/>
              </w:rPr>
              <w:t>Documentation versionnée du kit de développement employé</w:t>
            </w:r>
          </w:p>
        </w:tc>
      </w:tr>
      <w:tr>
        <w:tc>
          <w:tcPr>
            <w:tcW w:type="dxa" w:w="4649"/>
          </w:tcPr>
          <w:p>
            <w:pPr>
              <w:spacing w:before="60" w:after="60" w:line="269" w:lineRule="auto"/>
            </w:pPr>
            <w:r/>
            <w:r>
              <w:rPr>
                <w:rFonts w:ascii="IBM Plex Serif" w:hAnsi="IBM Plex Serif" w:cs="IBM Plex Serif" w:eastAsia="IBM Plex Serif"/>
                <w:b w:val="0"/>
                <w:i w:val="0"/>
                <w:color w:val="1C1A17"/>
                <w:sz w:val="18"/>
              </w:rPr>
              <w:t>Rendu cartographique</w:t>
            </w:r>
          </w:p>
        </w:tc>
        <w:tc>
          <w:tcPr>
            <w:tcW w:type="dxa" w:w="4649"/>
          </w:tcPr>
          <w:p>
            <w:pPr>
              <w:spacing w:before="60" w:after="60" w:line="269" w:lineRule="auto"/>
            </w:pPr>
            <w:r/>
            <w:r>
              <w:rPr>
                <w:rFonts w:ascii="IBM Plex Serif" w:hAnsi="IBM Plex Serif" w:cs="IBM Plex Serif" w:eastAsia="IBM Plex Serif"/>
                <w:b w:val="0"/>
                <w:i w:val="0"/>
                <w:color w:val="1C1A17"/>
                <w:sz w:val="18"/>
              </w:rPr>
              <w:t>Spécification de style vectoriel et documentation du greffon mobile</w:t>
            </w:r>
          </w:p>
        </w:tc>
      </w:tr>
      <w:tr>
        <w:tc>
          <w:tcPr>
            <w:tcW w:type="dxa" w:w="4649"/>
          </w:tcPr>
          <w:p>
            <w:pPr>
              <w:spacing w:before="60" w:after="60" w:line="269" w:lineRule="auto"/>
            </w:pPr>
            <w:r/>
            <w:r>
              <w:rPr>
                <w:rFonts w:ascii="IBM Plex Serif" w:hAnsi="IBM Plex Serif" w:cs="IBM Plex Serif" w:eastAsia="IBM Plex Serif"/>
                <w:b w:val="0"/>
                <w:i w:val="0"/>
                <w:color w:val="1C1A17"/>
                <w:sz w:val="18"/>
              </w:rPr>
              <w:t>Fond cartographique</w:t>
            </w:r>
          </w:p>
        </w:tc>
        <w:tc>
          <w:tcPr>
            <w:tcW w:type="dxa" w:w="4649"/>
          </w:tcPr>
          <w:p>
            <w:pPr>
              <w:spacing w:before="60" w:after="60" w:line="269" w:lineRule="auto"/>
            </w:pPr>
            <w:r/>
            <w:r>
              <w:rPr>
                <w:rFonts w:ascii="IBM Plex Serif" w:hAnsi="IBM Plex Serif" w:cs="IBM Plex Serif" w:eastAsia="IBM Plex Serif"/>
                <w:b w:val="0"/>
                <w:i w:val="0"/>
                <w:color w:val="1C1A17"/>
                <w:sz w:val="18"/>
              </w:rPr>
              <w:t>Données ouvertes collaboratives et politique d'usage des serveurs de tuiles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Temps réel</w:t>
            </w:r>
          </w:p>
        </w:tc>
        <w:tc>
          <w:tcPr>
            <w:tcW w:type="dxa" w:w="4649"/>
          </w:tcPr>
          <w:p>
            <w:pPr>
              <w:spacing w:before="60" w:after="60" w:line="269" w:lineRule="auto"/>
            </w:pPr>
            <w:r/>
            <w:r>
              <w:rPr>
                <w:rFonts w:ascii="IBM Plex Serif" w:hAnsi="IBM Plex Serif" w:cs="IBM Plex Serif" w:eastAsia="IBM Plex Serif"/>
                <w:b w:val="0"/>
                <w:i w:val="0"/>
                <w:color w:val="1C1A17"/>
                <w:sz w:val="18"/>
              </w:rPr>
              <w:t>Documentation du protocole de socket bidirectionnel et de ses transports de repli</w:t>
            </w:r>
          </w:p>
        </w:tc>
      </w:tr>
      <w:tr>
        <w:tc>
          <w:tcPr>
            <w:tcW w:type="dxa" w:w="4649"/>
          </w:tcPr>
          <w:p>
            <w:pPr>
              <w:spacing w:before="60" w:after="60" w:line="269" w:lineRule="auto"/>
            </w:pPr>
            <w:r/>
            <w:r>
              <w:rPr>
                <w:rFonts w:ascii="IBM Plex Serif" w:hAnsi="IBM Plex Serif" w:cs="IBM Plex Serif" w:eastAsia="IBM Plex Serif"/>
                <w:b w:val="0"/>
                <w:i w:val="0"/>
                <w:color w:val="1C1A17"/>
                <w:sz w:val="18"/>
              </w:rPr>
              <w:t>Validation</w:t>
            </w:r>
          </w:p>
        </w:tc>
        <w:tc>
          <w:tcPr>
            <w:tcW w:type="dxa" w:w="4649"/>
          </w:tcPr>
          <w:p>
            <w:pPr>
              <w:spacing w:before="60" w:after="60" w:line="269" w:lineRule="auto"/>
            </w:pPr>
            <w:r/>
            <w:r>
              <w:rPr>
                <w:rFonts w:ascii="IBM Plex Serif" w:hAnsi="IBM Plex Serif" w:cs="IBM Plex Serif" w:eastAsia="IBM Plex Serif"/>
                <w:b w:val="0"/>
                <w:i w:val="0"/>
                <w:color w:val="1C1A17"/>
                <w:sz w:val="18"/>
              </w:rPr>
              <w:t>Documentation de la bibliothèque de schémas employée pour les contrats partagés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Modélisation</w:t>
            </w:r>
          </w:p>
        </w:tc>
        <w:tc>
          <w:tcPr>
            <w:tcW w:type="dxa" w:w="4649"/>
          </w:tcPr>
          <w:p>
            <w:pPr>
              <w:spacing w:before="60" w:after="60" w:line="269" w:lineRule="auto"/>
            </w:pPr>
            <w:r/>
            <w:r>
              <w:rPr>
                <w:rFonts w:ascii="IBM Plex Serif" w:hAnsi="IBM Plex Serif" w:cs="IBM Plex Serif" w:eastAsia="IBM Plex Serif"/>
                <w:b w:val="0"/>
                <w:i w:val="0"/>
                <w:color w:val="1C1A17"/>
                <w:sz w:val="18"/>
              </w:rPr>
              <w:t>Spécification du langage de modélisation unifié, diagrammes de cas d'utilisation, de classes, d'états, de séquence et d'activité</w:t>
            </w:r>
          </w:p>
        </w:tc>
      </w:tr>
    </w:tbl>
    <w:p>
      <w:pPr>
        <w:spacing w:after="160"/>
      </w:pPr>
    </w:p>
    <w:sectPr w:rsidR="00FC693F" w:rsidRPr="0006063C" w:rsidSect="00034616">
      <w:footerReference w:type="default" r:id="rId30"/>
      <w:pgSz w:w="11906" w:h="16838"/>
      <w:pgMar w:top="1361" w:right="1247" w:bottom="1247" w:left="136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right"/>
      </w:tabs>
      <w:pBdr>
        <w:top w:val="single" w:sz="4" w:space="6" w:color="D9D4C9"/>
      </w:pBdr>
    </w:pPr>
    <w:r>
      <w:rPr>
        <w:rFonts w:ascii="IBM Plex Sans" w:hAnsi="IBM Plex Sans" w:cs="IBM Plex Sans" w:eastAsia="IBM Plex Sans"/>
        <w:b w:val="0"/>
        <w:i w:val="0"/>
        <w:color w:val="8A8578"/>
        <w:sz w:val="16"/>
      </w:rPr>
      <w:t>GeoCras · Cahier des charges</w:t>
    </w:r>
    <w:r>
      <w:rPr>
        <w:rFonts w:ascii="IBM Plex Sans" w:hAnsi="IBM Plex Sans" w:cs="IBM Plex Sans" w:eastAsia="IBM Plex Sans"/>
        <w:b w:val="0"/>
        <w:i w:val="0"/>
        <w:color w:val="1C1A17"/>
        <w:sz w:val="16"/>
      </w:rPr>
      <w:tab/>
    </w:r>
    <w:r>
      <w:rPr>
        <w:rFonts w:ascii="IBM Plex Mono" w:hAnsi="IBM Plex Mono" w:cs="IBM Plex Mono" w:eastAsia="IBM Plex Mono"/>
        <w:b/>
        <w:i w:val="0"/>
        <w:color w:val="1C1A17"/>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IBM Plex Serif" w:hAnsi="IBM Plex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