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E073B"/>
          <w:sz w:val="36"/>
        </w:rPr>
        <w:t>Cover Whale — Agency Onboarding Process</w:t>
      </w:r>
    </w:p>
    <w:p>
      <w:pPr>
        <w:spacing w:before="0" w:after="80"/>
      </w:pPr>
      <w:r>
        <w:rPr>
          <w:rFonts w:ascii="Segoe UI" w:hAnsi="Segoe UI"/>
          <w:b w:val="0"/>
          <w:color w:val="6B7280"/>
          <w:sz w:val="18"/>
        </w:rPr>
        <w:t>From credential handoff to BDA graduation · 1-page executive summary · Updated May 2026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Goal</w:t>
      </w:r>
    </w:p>
    <w:p>
      <w:pPr>
        <w:spacing w:before="0" w:after="20"/>
      </w:pPr>
      <w:r>
        <w:rPr>
          <w:rFonts w:ascii="Segoe UI" w:hAnsi="Segoe UI"/>
          <w:b w:val="0"/>
          <w:color w:val="111827"/>
          <w:sz w:val="18"/>
        </w:rPr>
        <w:t>Agent is confident on the platform, first bind by Day 30, clean BDA handoff at Day 30, and agency is on track to hit $125K quarterly new-business GWP by end of first full quarter.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Process flow</w:t>
      </w:r>
    </w:p>
    <w:p>
      <w:pPr>
        <w:spacing w:before="0" w:after="20"/>
      </w:pPr>
      <w:r>
        <w:rPr>
          <w:rFonts w:ascii="Segoe UI" w:hAnsi="Segoe UI"/>
          <w:b w:val="0"/>
          <w:color w:val="111827"/>
          <w:sz w:val="18"/>
        </w:rPr>
        <w:t>Appointment Complete → Stage 1 Welcome &amp; Kickoff (Days 1–5) → Stage 2 Platform Walkthrough (Days 5–10) → Stage 3 Commissions/PFC/Billing (Days 21–30) → BDM→BDA Handoff (Day 30) → 30 / 60 / 90-Day Check-Ins → Quarterly Performance Review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Roles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Product / Turris — appoints agency, sends credentials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Onboarding Lead — owns Stages 1–3 and the handoff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BDA — owns post-handoff growth, 30/60/90 check-ins, probation prevention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Growth Team — receives graduated agencies for ongoing relationship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Retail partner production thresholds (probation hard line)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Quarterly GWP — Minimum $125,000 / quarter NB only (renewals/endorsements excluded)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Annual GWP — Minimum $500,000 (≈ 33 trucks/year)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Reviewed by BDA quarterly: unique DOT % (≥40%), loss ratio (&lt;60%), cancellation rate (&lt;50%), renewal rate (≥50%)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Key SLAs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Welcome email sent ≤ 1 business day after appointment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Session 1 booked ≤ 5 business days; held ≤ 10 business days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First submission ≤ 14 days after Session 1; first bind ≤ 30 days after appointment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Session 2 + BDA handoff ≤ 21 days after Session 1; BDA graduation at Day 90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Probation playbook (when quarterly NB GWP &lt; $125K)</w:t>
      </w:r>
    </w:p>
    <w:p>
      <w:pPr>
        <w:spacing w:before="0" w:after="20"/>
      </w:pPr>
      <w:r>
        <w:rPr>
          <w:rFonts w:ascii="Segoe UI" w:hAnsi="Segoe UI"/>
          <w:b w:val="0"/>
          <w:color w:val="111827"/>
          <w:sz w:val="18"/>
        </w:rPr>
        <w:t>Q+3 warning email → 30-day cure window with weekly BDA working sessions → Q+30 decision (continue / extend / move toward deactivation) → Q+90 if 2nd consecutive quarter below threshold without a recovery plan: formal deactivation review. Deactivation requires ALL three: 2 consecutive quarters &lt; $125K, no submissions in last 30 days, no agreed growth plan.</w:t>
      </w:r>
    </w:p>
    <w:p>
      <w:pPr>
        <w:spacing w:before="80" w:after="40"/>
      </w:pPr>
      <w:r>
        <w:rPr>
          <w:rFonts w:ascii="Segoe UI" w:hAnsi="Segoe UI"/>
          <w:b/>
          <w:color w:val="1E073B"/>
          <w:sz w:val="32"/>
        </w:rPr>
        <w:t>Program metrics tracked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Time-to-Session-1 ≤ 10 business days · Time-to-first-bind ≤ 30 days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% graduated to Growth on Day 90 ≥ 85% · % hitting $125K Q1 NB ≥ 70%</w:t>
      </w:r>
    </w:p>
    <w:p>
      <w:pPr>
        <w:pStyle w:val="ListBullet"/>
        <w:spacing w:before="0" w:after="0"/>
      </w:pPr>
      <w:r>
        <w:rPr>
          <w:rFonts w:ascii="Segoe UI" w:hAnsi="Segoe UI"/>
          <w:color w:val="111827"/>
          <w:sz w:val="18"/>
        </w:rPr>
        <w:t>Agent feedback at 30 days ≥ 50 NPS · Onboarding queue age (&gt;5 days) = 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