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0FCB9" w14:textId="6BA2380E" w:rsidR="00B86399" w:rsidRDefault="00700307" w:rsidP="00700307">
      <w:pPr>
        <w:pStyle w:val="Heading1"/>
      </w:pPr>
      <w:r>
        <w:t>Abstract</w:t>
      </w:r>
    </w:p>
    <w:p w14:paraId="16AC606F" w14:textId="08347882" w:rsidR="003A2545" w:rsidRDefault="00545339" w:rsidP="00700307">
      <w:r>
        <w:t>Write abstract last</w:t>
      </w:r>
    </w:p>
    <w:p w14:paraId="2FDC336E" w14:textId="04F61846" w:rsidR="00700307" w:rsidRDefault="00E60E91" w:rsidP="00700307">
      <w:pPr>
        <w:pStyle w:val="Heading1"/>
      </w:pPr>
      <w:r>
        <w:t xml:space="preserve">1. </w:t>
      </w:r>
      <w:r w:rsidR="00700307">
        <w:t>Introduction</w:t>
      </w:r>
    </w:p>
    <w:p w14:paraId="60442910" w14:textId="27D1B9FD" w:rsidR="004341FD" w:rsidRDefault="00545339" w:rsidP="004341FD">
      <w:r>
        <w:t xml:space="preserve">Write Introduction after </w:t>
      </w:r>
      <w:r w:rsidR="00A46E26">
        <w:t>methods and results completed.</w:t>
      </w:r>
    </w:p>
    <w:p w14:paraId="3106130E" w14:textId="33929217" w:rsidR="00700307" w:rsidRDefault="001D0926" w:rsidP="00700307">
      <w:pPr>
        <w:pStyle w:val="Heading1"/>
      </w:pPr>
      <w:r>
        <w:t>2</w:t>
      </w:r>
      <w:r w:rsidR="00E60E91">
        <w:t xml:space="preserve">. </w:t>
      </w:r>
      <w:r w:rsidR="00700307">
        <w:t>Methods</w:t>
      </w:r>
    </w:p>
    <w:p w14:paraId="19BB2953" w14:textId="74234BC9" w:rsidR="00A46752" w:rsidRDefault="00EC1A57" w:rsidP="00DE03E7">
      <w:r>
        <w:t xml:space="preserve">Multiple imputation seeks to address this issue by replacing </w:t>
      </w:r>
      <w:r w:rsidR="00A61FCC">
        <w:t xml:space="preserve">missing values with plausible data values which minimize the impact to the natural variation of the dataset.  </w:t>
      </w:r>
    </w:p>
    <w:p w14:paraId="119552C3" w14:textId="4F30E3C3" w:rsidR="00450940" w:rsidRPr="00450940" w:rsidRDefault="001D0926" w:rsidP="00DE03E7">
      <w:pPr>
        <w:rPr>
          <w:b/>
        </w:rPr>
      </w:pPr>
      <w:r>
        <w:rPr>
          <w:b/>
        </w:rPr>
        <w:t>2</w:t>
      </w:r>
      <w:r w:rsidR="00450940" w:rsidRPr="00450940">
        <w:rPr>
          <w:b/>
        </w:rPr>
        <w:t xml:space="preserve">.1 Data </w:t>
      </w:r>
      <w:r>
        <w:rPr>
          <w:b/>
        </w:rPr>
        <w:t>Acquisition</w:t>
      </w:r>
    </w:p>
    <w:p w14:paraId="2259DD4E" w14:textId="6BD228A5" w:rsidR="00DE03E7" w:rsidRDefault="00663360" w:rsidP="00DE03E7">
      <w:r>
        <w:t>Data for this study was downloaded from Yahoo Finance utilizing the python packages “</w:t>
      </w:r>
      <w:proofErr w:type="spellStart"/>
      <w:r>
        <w:t>pandas_datareader</w:t>
      </w:r>
      <w:proofErr w:type="spellEnd"/>
      <w:r>
        <w:t>” and “</w:t>
      </w:r>
      <w:proofErr w:type="spellStart"/>
      <w:r>
        <w:t>fix_yahoo_finance</w:t>
      </w:r>
      <w:proofErr w:type="spellEnd"/>
      <w:r>
        <w:t xml:space="preserve">”.  </w:t>
      </w:r>
      <w:r w:rsidR="00EC34E5">
        <w:t xml:space="preserve">The data returned from </w:t>
      </w:r>
      <w:r w:rsidR="00DE7D20">
        <w:t xml:space="preserve">query is daily adjusted close stock prices from 1/1/2016 to 9/15/2018 for seven publicly traded stocks:  Anadarko Petroleum (APC), Facebook (FB), Netflix (NFLX), Splunk (SPLK), Twitter (TWTR), Ubiquiti Networks (UBNT) and Wal-Mart (WMT).  This data is returned into a Pandas data frame named “px”.  “px” is indexed by the date of the adjusted close price.  Table 1 shows a description of the “px” data frame.  </w:t>
      </w:r>
    </w:p>
    <w:tbl>
      <w:tblPr>
        <w:tblStyle w:val="TableGrid"/>
        <w:tblW w:w="2976" w:type="dxa"/>
        <w:tblLook w:val="04A0" w:firstRow="1" w:lastRow="0" w:firstColumn="1" w:lastColumn="0" w:noHBand="0" w:noVBand="1"/>
      </w:tblPr>
      <w:tblGrid>
        <w:gridCol w:w="1818"/>
        <w:gridCol w:w="1158"/>
      </w:tblGrid>
      <w:tr w:rsidR="008003AF" w:rsidRPr="00C76988" w14:paraId="211576D5" w14:textId="77777777" w:rsidTr="008003AF">
        <w:trPr>
          <w:tblHeader/>
        </w:trPr>
        <w:tc>
          <w:tcPr>
            <w:tcW w:w="1818" w:type="dxa"/>
            <w:shd w:val="clear" w:color="auto" w:fill="D9E2F3" w:themeFill="accent1" w:themeFillTint="33"/>
          </w:tcPr>
          <w:p w14:paraId="7FC3B23F" w14:textId="77777777" w:rsidR="008003AF" w:rsidRPr="00C76988" w:rsidRDefault="008003AF" w:rsidP="00B86399">
            <w:pPr>
              <w:rPr>
                <w:b/>
                <w:sz w:val="22"/>
              </w:rPr>
            </w:pPr>
            <w:r w:rsidRPr="00C76988">
              <w:rPr>
                <w:b/>
                <w:sz w:val="22"/>
              </w:rPr>
              <w:t>Column Name</w:t>
            </w:r>
          </w:p>
        </w:tc>
        <w:tc>
          <w:tcPr>
            <w:tcW w:w="1158" w:type="dxa"/>
            <w:shd w:val="clear" w:color="auto" w:fill="D9E2F3" w:themeFill="accent1" w:themeFillTint="33"/>
          </w:tcPr>
          <w:p w14:paraId="5DE62BEE" w14:textId="1D338139" w:rsidR="008003AF" w:rsidRPr="00C76988" w:rsidRDefault="008003AF" w:rsidP="00B863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</w:tr>
      <w:tr w:rsidR="008003AF" w:rsidRPr="00C47DFA" w14:paraId="0ED6B176" w14:textId="77777777" w:rsidTr="008003AF">
        <w:tc>
          <w:tcPr>
            <w:tcW w:w="1818" w:type="dxa"/>
          </w:tcPr>
          <w:p w14:paraId="4F7C96A1" w14:textId="549572C4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APC</w:t>
            </w:r>
          </w:p>
        </w:tc>
        <w:tc>
          <w:tcPr>
            <w:tcW w:w="1158" w:type="dxa"/>
          </w:tcPr>
          <w:p w14:paraId="43C38E36" w14:textId="249345B1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 w:rsidR="008003AF" w:rsidRPr="00C47DFA" w14:paraId="664D9AF0" w14:textId="77777777" w:rsidTr="008003AF">
        <w:tc>
          <w:tcPr>
            <w:tcW w:w="1818" w:type="dxa"/>
          </w:tcPr>
          <w:p w14:paraId="5D62AEF8" w14:textId="67A87588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FB</w:t>
            </w:r>
          </w:p>
        </w:tc>
        <w:tc>
          <w:tcPr>
            <w:tcW w:w="1158" w:type="dxa"/>
          </w:tcPr>
          <w:p w14:paraId="670C1F83" w14:textId="003F65F1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 w:rsidR="008003AF" w:rsidRPr="00C47DFA" w14:paraId="51A85C7B" w14:textId="77777777" w:rsidTr="008003AF">
        <w:tc>
          <w:tcPr>
            <w:tcW w:w="1818" w:type="dxa"/>
          </w:tcPr>
          <w:p w14:paraId="4A3DE711" w14:textId="0AE1D71F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NFLX</w:t>
            </w:r>
          </w:p>
        </w:tc>
        <w:tc>
          <w:tcPr>
            <w:tcW w:w="1158" w:type="dxa"/>
          </w:tcPr>
          <w:p w14:paraId="10D4CDC8" w14:textId="1B368780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 w:rsidR="008003AF" w:rsidRPr="00C47DFA" w14:paraId="54DD21F8" w14:textId="77777777" w:rsidTr="008003AF">
        <w:tc>
          <w:tcPr>
            <w:tcW w:w="1818" w:type="dxa"/>
          </w:tcPr>
          <w:p w14:paraId="42F0CE39" w14:textId="23020031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SPLK</w:t>
            </w:r>
          </w:p>
        </w:tc>
        <w:tc>
          <w:tcPr>
            <w:tcW w:w="1158" w:type="dxa"/>
          </w:tcPr>
          <w:p w14:paraId="286B1896" w14:textId="15F8EEC7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 w:rsidR="008003AF" w:rsidRPr="00C47DFA" w14:paraId="546C308A" w14:textId="77777777" w:rsidTr="008003AF">
        <w:tc>
          <w:tcPr>
            <w:tcW w:w="1818" w:type="dxa"/>
          </w:tcPr>
          <w:p w14:paraId="426CFE4F" w14:textId="3F025E4B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TWTR</w:t>
            </w:r>
          </w:p>
        </w:tc>
        <w:tc>
          <w:tcPr>
            <w:tcW w:w="1158" w:type="dxa"/>
          </w:tcPr>
          <w:p w14:paraId="40CB415A" w14:textId="09ED0FC7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 w:rsidR="008003AF" w:rsidRPr="00C47DFA" w14:paraId="0E21E4CB" w14:textId="77777777" w:rsidTr="008003AF">
        <w:tc>
          <w:tcPr>
            <w:tcW w:w="1818" w:type="dxa"/>
          </w:tcPr>
          <w:p w14:paraId="558F0A2E" w14:textId="59D7E515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UBNT</w:t>
            </w:r>
          </w:p>
        </w:tc>
        <w:tc>
          <w:tcPr>
            <w:tcW w:w="1158" w:type="dxa"/>
          </w:tcPr>
          <w:p w14:paraId="1CC597D0" w14:textId="668303B5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 w:rsidR="008003AF" w:rsidRPr="00C47DFA" w14:paraId="517F856F" w14:textId="77777777" w:rsidTr="008003AF">
        <w:tc>
          <w:tcPr>
            <w:tcW w:w="1818" w:type="dxa"/>
          </w:tcPr>
          <w:p w14:paraId="4552F518" w14:textId="199900F8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WMT</w:t>
            </w:r>
          </w:p>
        </w:tc>
        <w:tc>
          <w:tcPr>
            <w:tcW w:w="1158" w:type="dxa"/>
          </w:tcPr>
          <w:p w14:paraId="5AEDF0E5" w14:textId="4B321C5B" w:rsidR="008003AF" w:rsidRPr="00C47DFA" w:rsidRDefault="008003AF" w:rsidP="00B86399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</w:tbl>
    <w:p w14:paraId="43C3CAEF" w14:textId="13F35AA6" w:rsidR="00F50FB0" w:rsidRPr="00DE03E7" w:rsidRDefault="00F50FB0" w:rsidP="00F50FB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Table </w:t>
      </w:r>
      <w:r w:rsidR="00DE7D20">
        <w:rPr>
          <w:i/>
          <w:sz w:val="20"/>
          <w:szCs w:val="20"/>
        </w:rPr>
        <w:t>1</w:t>
      </w:r>
      <w:r>
        <w:rPr>
          <w:i/>
          <w:sz w:val="20"/>
          <w:szCs w:val="20"/>
        </w:rPr>
        <w:t xml:space="preserve">.  </w:t>
      </w:r>
      <w:r w:rsidR="00DE7D20">
        <w:rPr>
          <w:i/>
          <w:sz w:val="20"/>
          <w:szCs w:val="20"/>
        </w:rPr>
        <w:t>“px”</w:t>
      </w:r>
      <w:r w:rsidR="008003AF">
        <w:rPr>
          <w:i/>
          <w:sz w:val="20"/>
          <w:szCs w:val="20"/>
        </w:rPr>
        <w:t xml:space="preserve"> data frame</w:t>
      </w:r>
      <w:r w:rsidR="00D24034">
        <w:rPr>
          <w:i/>
          <w:sz w:val="20"/>
          <w:szCs w:val="20"/>
        </w:rPr>
        <w:t xml:space="preserve"> description</w:t>
      </w:r>
    </w:p>
    <w:p w14:paraId="17CF3135" w14:textId="494AF532" w:rsidR="00DE7D20" w:rsidRDefault="00DE7D20" w:rsidP="001D0926">
      <w:r>
        <w:t>Dow Jones adjusted close values are also retrieved and returned into a separate</w:t>
      </w:r>
      <w:r w:rsidR="008003AF">
        <w:t xml:space="preserve"> data indexed</w:t>
      </w:r>
      <w:r>
        <w:t xml:space="preserve"> data frame named “</w:t>
      </w:r>
      <w:proofErr w:type="spellStart"/>
      <w:r>
        <w:t>djiPx</w:t>
      </w:r>
      <w:proofErr w:type="spellEnd"/>
      <w:r>
        <w:t xml:space="preserve">”.  </w:t>
      </w:r>
      <w:r w:rsidR="008003AF">
        <w:t>The structure of this data frame is shown in table 2.  “</w:t>
      </w:r>
      <w:proofErr w:type="spellStart"/>
      <w:r w:rsidR="008003AF">
        <w:t>djiPx</w:t>
      </w:r>
      <w:proofErr w:type="spellEnd"/>
      <w:r w:rsidR="008003AF">
        <w:t>” will be utilized for comparisons to the overall “px” seven stock portfolio.</w:t>
      </w:r>
    </w:p>
    <w:tbl>
      <w:tblPr>
        <w:tblStyle w:val="TableGrid"/>
        <w:tblW w:w="2976" w:type="dxa"/>
        <w:tblLook w:val="04A0" w:firstRow="1" w:lastRow="0" w:firstColumn="1" w:lastColumn="0" w:noHBand="0" w:noVBand="1"/>
      </w:tblPr>
      <w:tblGrid>
        <w:gridCol w:w="1818"/>
        <w:gridCol w:w="1158"/>
      </w:tblGrid>
      <w:tr w:rsidR="008003AF" w:rsidRPr="00C76988" w14:paraId="342E8D02" w14:textId="77777777" w:rsidTr="00544BDB">
        <w:trPr>
          <w:tblHeader/>
        </w:trPr>
        <w:tc>
          <w:tcPr>
            <w:tcW w:w="1818" w:type="dxa"/>
            <w:shd w:val="clear" w:color="auto" w:fill="D9E2F3" w:themeFill="accent1" w:themeFillTint="33"/>
          </w:tcPr>
          <w:p w14:paraId="56BA1F0A" w14:textId="77777777" w:rsidR="008003AF" w:rsidRPr="00C76988" w:rsidRDefault="008003AF" w:rsidP="00544BDB">
            <w:pPr>
              <w:rPr>
                <w:b/>
                <w:sz w:val="22"/>
              </w:rPr>
            </w:pPr>
            <w:r w:rsidRPr="00C76988">
              <w:rPr>
                <w:b/>
                <w:sz w:val="22"/>
              </w:rPr>
              <w:t>Column Name</w:t>
            </w:r>
          </w:p>
        </w:tc>
        <w:tc>
          <w:tcPr>
            <w:tcW w:w="1158" w:type="dxa"/>
            <w:shd w:val="clear" w:color="auto" w:fill="D9E2F3" w:themeFill="accent1" w:themeFillTint="33"/>
          </w:tcPr>
          <w:p w14:paraId="3D45A743" w14:textId="77777777" w:rsidR="008003AF" w:rsidRPr="00C76988" w:rsidRDefault="008003AF" w:rsidP="00544BD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</w:tr>
      <w:tr w:rsidR="008003AF" w:rsidRPr="00C47DFA" w14:paraId="0636E19F" w14:textId="77777777" w:rsidTr="00544BDB">
        <w:tc>
          <w:tcPr>
            <w:tcW w:w="1818" w:type="dxa"/>
          </w:tcPr>
          <w:p w14:paraId="78E44D21" w14:textId="552D5525" w:rsidR="008003AF" w:rsidRPr="00C47DFA" w:rsidRDefault="008003AF" w:rsidP="00544BDB">
            <w:pPr>
              <w:rPr>
                <w:sz w:val="22"/>
              </w:rPr>
            </w:pPr>
            <w:r>
              <w:rPr>
                <w:sz w:val="22"/>
              </w:rPr>
              <w:t>DJI</w:t>
            </w:r>
          </w:p>
        </w:tc>
        <w:tc>
          <w:tcPr>
            <w:tcW w:w="1158" w:type="dxa"/>
          </w:tcPr>
          <w:p w14:paraId="696FEF29" w14:textId="77777777" w:rsidR="008003AF" w:rsidRPr="00C47DFA" w:rsidRDefault="008003AF" w:rsidP="00544BDB">
            <w:pPr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</w:tbl>
    <w:p w14:paraId="7432D3B9" w14:textId="21612771" w:rsidR="008003AF" w:rsidRPr="00DE03E7" w:rsidRDefault="008003AF" w:rsidP="008003A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Table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</w:rPr>
        <w:t>.  “</w:t>
      </w:r>
      <w:proofErr w:type="spellStart"/>
      <w:r>
        <w:rPr>
          <w:i/>
          <w:sz w:val="20"/>
          <w:szCs w:val="20"/>
        </w:rPr>
        <w:t>djiP</w:t>
      </w:r>
      <w:r>
        <w:rPr>
          <w:i/>
          <w:sz w:val="20"/>
          <w:szCs w:val="20"/>
        </w:rPr>
        <w:t>x</w:t>
      </w:r>
      <w:proofErr w:type="spellEnd"/>
      <w:r>
        <w:rPr>
          <w:i/>
          <w:sz w:val="20"/>
          <w:szCs w:val="20"/>
        </w:rPr>
        <w:t>” data frame description</w:t>
      </w:r>
    </w:p>
    <w:p w14:paraId="5B175E3E" w14:textId="12490EF3" w:rsidR="001D0926" w:rsidRPr="00B76A7C" w:rsidRDefault="00B76A7C" w:rsidP="001D0926">
      <w:pPr>
        <w:rPr>
          <w:b/>
        </w:rPr>
      </w:pPr>
      <w:r w:rsidRPr="00B76A7C">
        <w:rPr>
          <w:b/>
        </w:rPr>
        <w:t>2.2 Data Processing</w:t>
      </w:r>
    </w:p>
    <w:p w14:paraId="728EDA02" w14:textId="79C3E421" w:rsidR="00083EB1" w:rsidRDefault="00083EB1" w:rsidP="001D0926">
      <w:r>
        <w:t>Examination of the data in “px” and “</w:t>
      </w:r>
      <w:proofErr w:type="spellStart"/>
      <w:r>
        <w:t>dj</w:t>
      </w:r>
      <w:r w:rsidR="0099294F">
        <w:t>i</w:t>
      </w:r>
      <w:r>
        <w:t>Px</w:t>
      </w:r>
      <w:proofErr w:type="spellEnd"/>
      <w:r>
        <w:t xml:space="preserve">” </w:t>
      </w:r>
      <w:r w:rsidR="00723886">
        <w:t>data frames showed no missing values, correct columns, correct indexing and correct data types.  The focus of the data processing effort then shifted to creating daily return</w:t>
      </w:r>
      <w:r w:rsidR="0083337E">
        <w:t xml:space="preserve">s based on these two data frames.  </w:t>
      </w:r>
      <w:r w:rsidR="0083337E">
        <w:lastRenderedPageBreak/>
        <w:t>First, the Pandas function “</w:t>
      </w:r>
      <w:proofErr w:type="spellStart"/>
      <w:r w:rsidR="0083337E">
        <w:t>pct_</w:t>
      </w:r>
      <w:proofErr w:type="gramStart"/>
      <w:r w:rsidR="0083337E">
        <w:t>change</w:t>
      </w:r>
      <w:proofErr w:type="spellEnd"/>
      <w:r w:rsidR="0083337E">
        <w:t>(</w:t>
      </w:r>
      <w:proofErr w:type="gramEnd"/>
      <w:r w:rsidR="0083337E">
        <w:t>)” was utilized to calculate day over day returns for “px” and “</w:t>
      </w:r>
      <w:proofErr w:type="spellStart"/>
      <w:r w:rsidR="0083337E">
        <w:t>djiPx</w:t>
      </w:r>
      <w:proofErr w:type="spellEnd"/>
      <w:r w:rsidR="0083337E">
        <w:t>”.  The results were saved in new data frames named “rets” and “</w:t>
      </w:r>
      <w:proofErr w:type="spellStart"/>
      <w:r w:rsidR="0083337E">
        <w:t>djiRets</w:t>
      </w:r>
      <w:proofErr w:type="spellEnd"/>
      <w:r w:rsidR="0083337E">
        <w:t>”, respectively.  Second, total portfolio data frames were calculated to allow for simpler comparisons of all seven stocks to the Dow Jones Index.  The “</w:t>
      </w:r>
      <w:proofErr w:type="spellStart"/>
      <w:r w:rsidR="0083337E">
        <w:t>pxTot</w:t>
      </w:r>
      <w:proofErr w:type="spellEnd"/>
      <w:r w:rsidR="0083337E">
        <w:t>” data frame shows the average adjusted close price for all seven stocks on a daily basis.  The “</w:t>
      </w:r>
      <w:proofErr w:type="spellStart"/>
      <w:r w:rsidR="0083337E">
        <w:t>pxTotRet</w:t>
      </w:r>
      <w:proofErr w:type="spellEnd"/>
      <w:r w:rsidR="0083337E">
        <w:t>” data frame contains daily returns</w:t>
      </w:r>
      <w:r w:rsidR="0099294F">
        <w:t xml:space="preserve"> for the </w:t>
      </w:r>
      <w:proofErr w:type="gramStart"/>
      <w:r w:rsidR="0099294F">
        <w:t>seven stock</w:t>
      </w:r>
      <w:proofErr w:type="gramEnd"/>
      <w:r w:rsidR="0099294F">
        <w:t xml:space="preserve"> portfolio as a whole.  Table 3 summarizes the data frames in existence at this point in the process.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537"/>
        <w:gridCol w:w="7008"/>
      </w:tblGrid>
      <w:tr w:rsidR="0099294F" w:rsidRPr="00C76988" w14:paraId="1382F3B6" w14:textId="77777777" w:rsidTr="0099294F">
        <w:trPr>
          <w:tblHeader/>
        </w:trPr>
        <w:tc>
          <w:tcPr>
            <w:tcW w:w="1537" w:type="dxa"/>
            <w:shd w:val="clear" w:color="auto" w:fill="D9E2F3" w:themeFill="accent1" w:themeFillTint="33"/>
          </w:tcPr>
          <w:p w14:paraId="1F95154D" w14:textId="7BA1D3A5" w:rsidR="0099294F" w:rsidRPr="00C76988" w:rsidRDefault="0099294F" w:rsidP="00544BD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Data Frame</w:t>
            </w:r>
          </w:p>
        </w:tc>
        <w:tc>
          <w:tcPr>
            <w:tcW w:w="7008" w:type="dxa"/>
            <w:shd w:val="clear" w:color="auto" w:fill="D9E2F3" w:themeFill="accent1" w:themeFillTint="33"/>
          </w:tcPr>
          <w:p w14:paraId="355EDE4D" w14:textId="76E0358D" w:rsidR="0099294F" w:rsidRPr="00C76988" w:rsidRDefault="0099294F" w:rsidP="00544BD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w:rsidR="0099294F" w:rsidRPr="00C47DFA" w14:paraId="20E680D9" w14:textId="77777777" w:rsidTr="0099294F">
        <w:tc>
          <w:tcPr>
            <w:tcW w:w="1537" w:type="dxa"/>
          </w:tcPr>
          <w:p w14:paraId="21CC4863" w14:textId="4390CD2F" w:rsidR="0099294F" w:rsidRPr="00C47DFA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px</w:t>
            </w:r>
          </w:p>
        </w:tc>
        <w:tc>
          <w:tcPr>
            <w:tcW w:w="7008" w:type="dxa"/>
          </w:tcPr>
          <w:p w14:paraId="3501CB71" w14:textId="7B221813" w:rsidR="0099294F" w:rsidRPr="00C47DFA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Daily adjusted close values for all seven stocks</w:t>
            </w:r>
          </w:p>
        </w:tc>
      </w:tr>
      <w:tr w:rsidR="0099294F" w:rsidRPr="00C47DFA" w14:paraId="14C4F3FB" w14:textId="77777777" w:rsidTr="0099294F">
        <w:tc>
          <w:tcPr>
            <w:tcW w:w="1537" w:type="dxa"/>
          </w:tcPr>
          <w:p w14:paraId="6596B5A3" w14:textId="0F4FE328" w:rsidR="0099294F" w:rsidRDefault="0099294F" w:rsidP="00544BD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djiPx</w:t>
            </w:r>
            <w:proofErr w:type="spellEnd"/>
          </w:p>
        </w:tc>
        <w:tc>
          <w:tcPr>
            <w:tcW w:w="7008" w:type="dxa"/>
          </w:tcPr>
          <w:p w14:paraId="61C319E3" w14:textId="19D4287E" w:rsidR="0099294F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Daily adjusted close values for the Dow Jones Index</w:t>
            </w:r>
          </w:p>
        </w:tc>
      </w:tr>
      <w:tr w:rsidR="0099294F" w:rsidRPr="00C47DFA" w14:paraId="04C3EC18" w14:textId="77777777" w:rsidTr="0099294F">
        <w:tc>
          <w:tcPr>
            <w:tcW w:w="1537" w:type="dxa"/>
          </w:tcPr>
          <w:p w14:paraId="3AE46B84" w14:textId="48280A24" w:rsidR="0099294F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rets</w:t>
            </w:r>
          </w:p>
        </w:tc>
        <w:tc>
          <w:tcPr>
            <w:tcW w:w="7008" w:type="dxa"/>
          </w:tcPr>
          <w:p w14:paraId="67FD8AD5" w14:textId="54173835" w:rsidR="0099294F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Day over day returns for the seven stocks in the px data frame</w:t>
            </w:r>
          </w:p>
        </w:tc>
      </w:tr>
      <w:tr w:rsidR="0099294F" w:rsidRPr="00C47DFA" w14:paraId="6AAA6FA3" w14:textId="77777777" w:rsidTr="0099294F">
        <w:tc>
          <w:tcPr>
            <w:tcW w:w="1537" w:type="dxa"/>
          </w:tcPr>
          <w:p w14:paraId="0F0CB595" w14:textId="1C19B340" w:rsidR="0099294F" w:rsidRDefault="0099294F" w:rsidP="00544BD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djiRets</w:t>
            </w:r>
            <w:proofErr w:type="spellEnd"/>
          </w:p>
        </w:tc>
        <w:tc>
          <w:tcPr>
            <w:tcW w:w="7008" w:type="dxa"/>
          </w:tcPr>
          <w:p w14:paraId="759EDDA8" w14:textId="51A8CEED" w:rsidR="0099294F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Day over day returns from the Dow Jones Index</w:t>
            </w:r>
          </w:p>
        </w:tc>
      </w:tr>
      <w:tr w:rsidR="0099294F" w:rsidRPr="00C47DFA" w14:paraId="797E2016" w14:textId="77777777" w:rsidTr="0099294F">
        <w:tc>
          <w:tcPr>
            <w:tcW w:w="1537" w:type="dxa"/>
          </w:tcPr>
          <w:p w14:paraId="2C9DF162" w14:textId="71E11B86" w:rsidR="0099294F" w:rsidRDefault="0099294F" w:rsidP="00544BD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pxTot</w:t>
            </w:r>
            <w:proofErr w:type="spellEnd"/>
          </w:p>
        </w:tc>
        <w:tc>
          <w:tcPr>
            <w:tcW w:w="7008" w:type="dxa"/>
          </w:tcPr>
          <w:p w14:paraId="4242031C" w14:textId="3D5DC705" w:rsidR="0099294F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Daily average adjusted close values for the portfolio of seven stocks</w:t>
            </w:r>
          </w:p>
        </w:tc>
      </w:tr>
      <w:tr w:rsidR="0099294F" w:rsidRPr="00C47DFA" w14:paraId="45FD838C" w14:textId="77777777" w:rsidTr="0099294F">
        <w:tc>
          <w:tcPr>
            <w:tcW w:w="1537" w:type="dxa"/>
          </w:tcPr>
          <w:p w14:paraId="5A485241" w14:textId="231058B6" w:rsidR="0099294F" w:rsidRDefault="0099294F" w:rsidP="00544BD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pxTotRet</w:t>
            </w:r>
            <w:proofErr w:type="spellEnd"/>
          </w:p>
        </w:tc>
        <w:tc>
          <w:tcPr>
            <w:tcW w:w="7008" w:type="dxa"/>
          </w:tcPr>
          <w:p w14:paraId="23887BAE" w14:textId="375D4FF9" w:rsidR="0099294F" w:rsidRDefault="0099294F" w:rsidP="00544BDB">
            <w:pPr>
              <w:rPr>
                <w:sz w:val="22"/>
              </w:rPr>
            </w:pPr>
            <w:r>
              <w:rPr>
                <w:sz w:val="22"/>
              </w:rPr>
              <w:t>Day or day return for the portfolio of seven stocks</w:t>
            </w:r>
          </w:p>
        </w:tc>
      </w:tr>
    </w:tbl>
    <w:p w14:paraId="45E9D3A8" w14:textId="0FBE8FFF" w:rsidR="0099294F" w:rsidRPr="00DE03E7" w:rsidRDefault="0099294F" w:rsidP="0099294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Table </w:t>
      </w:r>
      <w:r>
        <w:rPr>
          <w:i/>
          <w:sz w:val="20"/>
          <w:szCs w:val="20"/>
        </w:rPr>
        <w:t>3</w:t>
      </w:r>
      <w:r>
        <w:rPr>
          <w:i/>
          <w:sz w:val="20"/>
          <w:szCs w:val="20"/>
        </w:rPr>
        <w:t>.  “</w:t>
      </w:r>
      <w:proofErr w:type="spellStart"/>
      <w:r>
        <w:rPr>
          <w:i/>
          <w:sz w:val="20"/>
          <w:szCs w:val="20"/>
        </w:rPr>
        <w:t>djiPx</w:t>
      </w:r>
      <w:proofErr w:type="spellEnd"/>
      <w:r>
        <w:rPr>
          <w:i/>
          <w:sz w:val="20"/>
          <w:szCs w:val="20"/>
        </w:rPr>
        <w:t>” data frame description</w:t>
      </w:r>
    </w:p>
    <w:p w14:paraId="02583C01" w14:textId="58CCE4E8" w:rsidR="00B76A7C" w:rsidRPr="00B76A7C" w:rsidRDefault="00B76A7C" w:rsidP="001D0926">
      <w:pPr>
        <w:rPr>
          <w:b/>
        </w:rPr>
      </w:pPr>
      <w:r w:rsidRPr="00B76A7C">
        <w:rPr>
          <w:b/>
        </w:rPr>
        <w:t>2.3 Calculations</w:t>
      </w:r>
    </w:p>
    <w:p w14:paraId="4776781D" w14:textId="77777777" w:rsidR="00B76A7C" w:rsidRDefault="00B76A7C" w:rsidP="001D0926">
      <w:bookmarkStart w:id="0" w:name="_GoBack"/>
      <w:bookmarkEnd w:id="0"/>
    </w:p>
    <w:p w14:paraId="6FE61F48" w14:textId="6D954086" w:rsidR="001A7A0E" w:rsidRDefault="00B76A7C" w:rsidP="001A7A0E">
      <w:pPr>
        <w:pStyle w:val="Heading1"/>
      </w:pPr>
      <w:r>
        <w:t>3</w:t>
      </w:r>
      <w:r w:rsidR="00E60E91">
        <w:t xml:space="preserve">. </w:t>
      </w:r>
      <w:r w:rsidR="00700307">
        <w:t>Results</w:t>
      </w:r>
    </w:p>
    <w:p w14:paraId="07DDFE0A" w14:textId="11D94839" w:rsidR="007366FB" w:rsidRDefault="007366FB" w:rsidP="007366FB"/>
    <w:p w14:paraId="57B469C7" w14:textId="781B99AD" w:rsidR="00B76A7C" w:rsidRPr="00B76A7C" w:rsidRDefault="00B76A7C" w:rsidP="007366FB">
      <w:pPr>
        <w:rPr>
          <w:b/>
        </w:rPr>
      </w:pPr>
      <w:r w:rsidRPr="00B76A7C">
        <w:rPr>
          <w:b/>
        </w:rPr>
        <w:t>3.1 Daily Returns</w:t>
      </w:r>
    </w:p>
    <w:p w14:paraId="55E381D3" w14:textId="77777777" w:rsidR="00B76A7C" w:rsidRDefault="00B76A7C" w:rsidP="007366FB"/>
    <w:p w14:paraId="2C8E1841" w14:textId="13F85EC9" w:rsidR="00B76A7C" w:rsidRPr="00B76A7C" w:rsidRDefault="00B76A7C" w:rsidP="007366FB">
      <w:pPr>
        <w:rPr>
          <w:b/>
        </w:rPr>
      </w:pPr>
      <w:r w:rsidRPr="00B76A7C">
        <w:rPr>
          <w:b/>
        </w:rPr>
        <w:t>3.2 Moving Window Average</w:t>
      </w:r>
    </w:p>
    <w:p w14:paraId="3A590469" w14:textId="77777777" w:rsidR="00B76A7C" w:rsidRDefault="00B76A7C" w:rsidP="007366FB"/>
    <w:p w14:paraId="1E6BA4E7" w14:textId="040AFD40" w:rsidR="00B76A7C" w:rsidRPr="00B76A7C" w:rsidRDefault="00B76A7C" w:rsidP="007366FB">
      <w:pPr>
        <w:rPr>
          <w:b/>
        </w:rPr>
      </w:pPr>
      <w:r w:rsidRPr="00B76A7C">
        <w:rPr>
          <w:b/>
        </w:rPr>
        <w:t>3.3 Exponentially Weighted Function</w:t>
      </w:r>
    </w:p>
    <w:p w14:paraId="34A23035" w14:textId="77777777" w:rsidR="00B76A7C" w:rsidRDefault="00B76A7C" w:rsidP="007366FB"/>
    <w:p w14:paraId="0D838D79" w14:textId="4D201E52" w:rsidR="00B76A7C" w:rsidRPr="00B76A7C" w:rsidRDefault="00B76A7C" w:rsidP="007366FB">
      <w:pPr>
        <w:rPr>
          <w:b/>
        </w:rPr>
      </w:pPr>
      <w:r w:rsidRPr="00B76A7C">
        <w:rPr>
          <w:b/>
        </w:rPr>
        <w:t>3.4 Binary Moving Window</w:t>
      </w:r>
    </w:p>
    <w:p w14:paraId="64380B0D" w14:textId="77777777" w:rsidR="00B76A7C" w:rsidRDefault="00B76A7C" w:rsidP="007366FB"/>
    <w:p w14:paraId="0990F026" w14:textId="550CD4B4" w:rsidR="00B76A7C" w:rsidRPr="00B76A7C" w:rsidRDefault="00B76A7C" w:rsidP="007366FB">
      <w:pPr>
        <w:rPr>
          <w:b/>
        </w:rPr>
      </w:pPr>
      <w:r w:rsidRPr="00B76A7C">
        <w:rPr>
          <w:b/>
        </w:rPr>
        <w:t>3.5 Sharpe Ratio Parameter Grid Output</w:t>
      </w:r>
    </w:p>
    <w:p w14:paraId="6848D534" w14:textId="313EF928" w:rsidR="00B76A7C" w:rsidRDefault="00B76A7C" w:rsidP="007366FB"/>
    <w:p w14:paraId="57E950F7" w14:textId="178C7ED9" w:rsidR="00605CE9" w:rsidRPr="00605CE9" w:rsidRDefault="00605CE9" w:rsidP="007366FB">
      <w:pPr>
        <w:rPr>
          <w:b/>
        </w:rPr>
      </w:pPr>
      <w:r w:rsidRPr="00605CE9">
        <w:rPr>
          <w:b/>
        </w:rPr>
        <w:t>3.6 Decision Making Based on Calculations</w:t>
      </w:r>
    </w:p>
    <w:p w14:paraId="03EB1756" w14:textId="77777777" w:rsidR="00605CE9" w:rsidRPr="007366FB" w:rsidRDefault="00605CE9" w:rsidP="007366FB"/>
    <w:p w14:paraId="7D567FD5" w14:textId="1883EE27" w:rsidR="00700307" w:rsidRDefault="00B76A7C" w:rsidP="00700307">
      <w:pPr>
        <w:pStyle w:val="Heading1"/>
      </w:pPr>
      <w:r>
        <w:lastRenderedPageBreak/>
        <w:t>4</w:t>
      </w:r>
      <w:r w:rsidR="00E60E91">
        <w:t xml:space="preserve">. </w:t>
      </w:r>
      <w:r w:rsidR="00700307">
        <w:t>Conclusion</w:t>
      </w:r>
    </w:p>
    <w:p w14:paraId="7767364B" w14:textId="33A43D71" w:rsidR="00700307" w:rsidRDefault="0099294F" w:rsidP="00700307">
      <w:r>
        <w:t>Write Conclusion after Introduction, Methods and Results.</w:t>
      </w:r>
      <w:r w:rsidR="0024381F">
        <w:t xml:space="preserve">  </w:t>
      </w:r>
    </w:p>
    <w:p w14:paraId="5B2836D7" w14:textId="6C4E0BE7" w:rsidR="00700307" w:rsidRDefault="00B76A7C" w:rsidP="00700307">
      <w:pPr>
        <w:pStyle w:val="Heading1"/>
      </w:pPr>
      <w:r>
        <w:t>5</w:t>
      </w:r>
      <w:r w:rsidR="00E60E91">
        <w:t xml:space="preserve">. </w:t>
      </w:r>
      <w:r w:rsidR="00700307">
        <w:t>Literature Review</w:t>
      </w:r>
    </w:p>
    <w:p w14:paraId="1077CD12" w14:textId="12C0851B" w:rsidR="00B76A7C" w:rsidRPr="00B76A7C" w:rsidRDefault="00870B1C" w:rsidP="00297A32">
      <w:pPr>
        <w:rPr>
          <w:rStyle w:val="Hyperlink"/>
          <w:sz w:val="22"/>
        </w:rPr>
      </w:pPr>
      <w:r w:rsidRPr="00297A32">
        <w:rPr>
          <w:sz w:val="22"/>
        </w:rPr>
        <w:t>“</w:t>
      </w:r>
      <w:r w:rsidR="008F4F89">
        <w:rPr>
          <w:sz w:val="22"/>
        </w:rPr>
        <w:t>Sharpe Ratio</w:t>
      </w:r>
      <w:r w:rsidRPr="00297A32">
        <w:rPr>
          <w:sz w:val="22"/>
        </w:rPr>
        <w:t>”</w:t>
      </w:r>
      <w:r w:rsidR="00B764DB" w:rsidRPr="00297A32">
        <w:rPr>
          <w:sz w:val="22"/>
        </w:rPr>
        <w:t>;</w:t>
      </w:r>
      <w:r w:rsidRPr="00297A32">
        <w:rPr>
          <w:sz w:val="22"/>
        </w:rPr>
        <w:t xml:space="preserve"> From:</w:t>
      </w:r>
      <w:r w:rsidRPr="00297A32">
        <w:rPr>
          <w:rStyle w:val="Hyperlink"/>
          <w:sz w:val="22"/>
        </w:rPr>
        <w:t xml:space="preserve">  </w:t>
      </w:r>
      <w:hyperlink r:id="rId7" w:history="1">
        <w:r w:rsidR="008F4F89" w:rsidRPr="00D1200F">
          <w:rPr>
            <w:rStyle w:val="Hyperlink"/>
            <w:sz w:val="22"/>
          </w:rPr>
          <w:t>https://www.investopedia.com/terms/s/sharperatio.asp</w:t>
        </w:r>
      </w:hyperlink>
    </w:p>
    <w:p w14:paraId="1AB97A1E" w14:textId="7EBF1BF8" w:rsidR="008F4F89" w:rsidRDefault="008F4F89" w:rsidP="00297A32">
      <w:pPr>
        <w:rPr>
          <w:sz w:val="22"/>
        </w:rPr>
      </w:pPr>
      <w:r>
        <w:rPr>
          <w:sz w:val="22"/>
        </w:rPr>
        <w:t xml:space="preserve">Paulsen, Dirk and </w:t>
      </w:r>
      <w:proofErr w:type="spellStart"/>
      <w:r>
        <w:rPr>
          <w:sz w:val="22"/>
        </w:rPr>
        <w:t>Sohl</w:t>
      </w:r>
      <w:proofErr w:type="spellEnd"/>
      <w:r>
        <w:rPr>
          <w:sz w:val="22"/>
        </w:rPr>
        <w:t xml:space="preserve">, Jakob; “Noise Fit, Estimation Error and a Sharpe Information Criterion:  Linear Case”; From:  </w:t>
      </w:r>
      <w:hyperlink r:id="rId8" w:history="1">
        <w:r w:rsidRPr="00D1200F">
          <w:rPr>
            <w:rStyle w:val="Hyperlink"/>
            <w:sz w:val="22"/>
          </w:rPr>
          <w:t>https://arxiv.org/pdf/1602.06186.pdf</w:t>
        </w:r>
      </w:hyperlink>
    </w:p>
    <w:p w14:paraId="65CA03B9" w14:textId="7B41CCE7" w:rsidR="008F4F89" w:rsidRDefault="008F4F89" w:rsidP="008F4F89">
      <w:pPr>
        <w:rPr>
          <w:sz w:val="22"/>
        </w:rPr>
      </w:pPr>
      <w:r>
        <w:rPr>
          <w:sz w:val="22"/>
        </w:rPr>
        <w:t>“</w:t>
      </w:r>
      <w:hyperlink r:id="rId9" w:tooltip="Permalink to Volatility And Measures Of Risk-Adjusted Return With Python" w:history="1">
        <w:r w:rsidRPr="008F4F89">
          <w:rPr>
            <w:sz w:val="22"/>
          </w:rPr>
          <w:t>Volatility And Measures Of Risk-Adjusted Return With Python</w:t>
        </w:r>
      </w:hyperlink>
      <w:r w:rsidRPr="008F4F89">
        <w:rPr>
          <w:sz w:val="22"/>
        </w:rPr>
        <w:t xml:space="preserve">”; From: </w:t>
      </w:r>
      <w:hyperlink r:id="rId10" w:history="1">
        <w:r w:rsidRPr="008F4F89">
          <w:rPr>
            <w:sz w:val="22"/>
          </w:rPr>
          <w:t>https://www.quantinsti.com/blog/volatility-and-measures-of-risk-adjusted-return-based-on-volatility/</w:t>
        </w:r>
      </w:hyperlink>
    </w:p>
    <w:p w14:paraId="265EAEE2" w14:textId="6255743D" w:rsidR="008F4F89" w:rsidRDefault="008F4F89" w:rsidP="008F4F89">
      <w:pPr>
        <w:rPr>
          <w:sz w:val="22"/>
        </w:rPr>
      </w:pPr>
      <w:r>
        <w:rPr>
          <w:sz w:val="22"/>
        </w:rPr>
        <w:t xml:space="preserve">“What is a “lookback”?”; From: </w:t>
      </w:r>
      <w:hyperlink r:id="rId11" w:history="1">
        <w:r w:rsidRPr="00D1200F">
          <w:rPr>
            <w:rStyle w:val="Hyperlink"/>
            <w:sz w:val="22"/>
          </w:rPr>
          <w:t>https://www.mystockoptions.com/content/what-is-a-lookback</w:t>
        </w:r>
      </w:hyperlink>
    </w:p>
    <w:p w14:paraId="02DEE96F" w14:textId="3CADFB53" w:rsidR="00B76A7C" w:rsidRDefault="00B7282E" w:rsidP="00B7282E">
      <w:p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 xml:space="preserve">Wesley, William; </w:t>
      </w:r>
      <w:r w:rsidR="001D0926" w:rsidRPr="001D0926">
        <w:rPr>
          <w:sz w:val="22"/>
        </w:rPr>
        <w:t>“Python for Data Analysis</w:t>
      </w:r>
      <w:r>
        <w:rPr>
          <w:sz w:val="22"/>
        </w:rPr>
        <w:t>”</w:t>
      </w:r>
      <w:r w:rsidR="001D0926" w:rsidRPr="001D0926">
        <w:rPr>
          <w:sz w:val="22"/>
        </w:rPr>
        <w:t xml:space="preserve"> McKinney (O’Reilly). Copyright 2012 William McKinney, 978-1-449-31979-3.”</w:t>
      </w:r>
    </w:p>
    <w:p w14:paraId="636133D9" w14:textId="230F073E" w:rsidR="00B76A7C" w:rsidRDefault="00B76A7C" w:rsidP="00B7282E">
      <w:pPr>
        <w:autoSpaceDE w:val="0"/>
        <w:autoSpaceDN w:val="0"/>
        <w:adjustRightInd w:val="0"/>
        <w:spacing w:after="0" w:line="240" w:lineRule="auto"/>
        <w:rPr>
          <w:sz w:val="22"/>
        </w:rPr>
      </w:pPr>
    </w:p>
    <w:p w14:paraId="0EA42BF1" w14:textId="25B3F9EB" w:rsidR="00B76A7C" w:rsidRDefault="00B76A7C" w:rsidP="00B76A7C">
      <w:pPr>
        <w:rPr>
          <w:sz w:val="22"/>
        </w:rPr>
      </w:pPr>
      <w:r>
        <w:rPr>
          <w:sz w:val="22"/>
        </w:rPr>
        <w:t xml:space="preserve">“Portfolio Optimization Using Monte Carlo Simulation”; From:  </w:t>
      </w:r>
      <w:hyperlink r:id="rId12" w:history="1">
        <w:r w:rsidRPr="00D1200F">
          <w:rPr>
            <w:rStyle w:val="Hyperlink"/>
            <w:sz w:val="22"/>
          </w:rPr>
          <w:t>https://www.quantinsti.com/blog/portfolio-optimization-maximum-return-risk-ratio-python/</w:t>
        </w:r>
      </w:hyperlink>
    </w:p>
    <w:p w14:paraId="04877356" w14:textId="15612F3D" w:rsidR="008501C9" w:rsidRDefault="008501C9" w:rsidP="00B76A7C">
      <w:pPr>
        <w:rPr>
          <w:sz w:val="22"/>
        </w:rPr>
      </w:pPr>
      <w:r>
        <w:rPr>
          <w:sz w:val="22"/>
        </w:rPr>
        <w:t xml:space="preserve">“Interpreting the Sharpe Ratio”; From: </w:t>
      </w:r>
      <w:hyperlink r:id="rId13" w:history="1">
        <w:r w:rsidR="008D1328" w:rsidRPr="00D1200F">
          <w:rPr>
            <w:rStyle w:val="Hyperlink"/>
            <w:sz w:val="22"/>
          </w:rPr>
          <w:t>https://www.aaii.com/journal/article/interpreting-the-sharpe-ratio.mobile</w:t>
        </w:r>
      </w:hyperlink>
    </w:p>
    <w:p w14:paraId="4C5DF74C" w14:textId="07034EAC" w:rsidR="008D1328" w:rsidRDefault="008D1328" w:rsidP="00B76A7C">
      <w:pPr>
        <w:rPr>
          <w:sz w:val="22"/>
        </w:rPr>
      </w:pPr>
      <w:r>
        <w:rPr>
          <w:sz w:val="22"/>
        </w:rPr>
        <w:t xml:space="preserve">“Adjusted Closing Price”; From: </w:t>
      </w:r>
      <w:hyperlink r:id="rId14" w:history="1">
        <w:r w:rsidRPr="00D1200F">
          <w:rPr>
            <w:rStyle w:val="Hyperlink"/>
            <w:sz w:val="22"/>
          </w:rPr>
          <w:t>https://www.investopedia.com/terms/a/adjusted_closing_price.asp</w:t>
        </w:r>
      </w:hyperlink>
    </w:p>
    <w:p w14:paraId="5C7FCCF4" w14:textId="2B6C0916" w:rsidR="008D1328" w:rsidRDefault="0083337E" w:rsidP="00B76A7C">
      <w:pPr>
        <w:rPr>
          <w:sz w:val="22"/>
        </w:rPr>
      </w:pPr>
      <w:r>
        <w:rPr>
          <w:sz w:val="22"/>
        </w:rPr>
        <w:t xml:space="preserve">Keen, Ben; “Resampling Time Series Data with Pandas”; From: </w:t>
      </w:r>
      <w:hyperlink r:id="rId15" w:history="1">
        <w:r w:rsidRPr="00D1200F">
          <w:rPr>
            <w:rStyle w:val="Hyperlink"/>
            <w:sz w:val="22"/>
          </w:rPr>
          <w:t>http://benalexkeen.com/resampling-time-series-data-with-pandas/</w:t>
        </w:r>
      </w:hyperlink>
    </w:p>
    <w:p w14:paraId="7B82F7EF" w14:textId="77777777" w:rsidR="0083337E" w:rsidRDefault="0083337E" w:rsidP="00B76A7C">
      <w:pPr>
        <w:rPr>
          <w:sz w:val="22"/>
        </w:rPr>
      </w:pPr>
    </w:p>
    <w:p w14:paraId="4F81DFA3" w14:textId="4D6EEA71" w:rsidR="00700307" w:rsidRDefault="00700307" w:rsidP="00700307">
      <w:pPr>
        <w:pStyle w:val="Heading1"/>
      </w:pPr>
      <w:r>
        <w:t>Appendix</w:t>
      </w:r>
      <w:r w:rsidR="00926B9D">
        <w:t xml:space="preserve"> A – </w:t>
      </w:r>
      <w:r w:rsidR="007366FB">
        <w:t>Python Code</w:t>
      </w:r>
    </w:p>
    <w:p w14:paraId="5B744E2D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>/* Import carmpgdata_26.2 data set */</w:t>
      </w:r>
    </w:p>
    <w:p w14:paraId="17E7EE1D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>%web_drop_</w:t>
      </w:r>
      <w:proofErr w:type="gramStart"/>
      <w:r w:rsidRPr="00297A32">
        <w:rPr>
          <w:rFonts w:ascii="Courier New" w:hAnsi="Courier New" w:cs="Courier New"/>
          <w:szCs w:val="24"/>
        </w:rPr>
        <w:t>table(</w:t>
      </w:r>
      <w:proofErr w:type="gramEnd"/>
      <w:r w:rsidRPr="00297A32">
        <w:rPr>
          <w:rFonts w:ascii="Courier New" w:hAnsi="Courier New" w:cs="Courier New"/>
          <w:szCs w:val="24"/>
        </w:rPr>
        <w:t>WORK.carmpgdata);</w:t>
      </w:r>
    </w:p>
    <w:p w14:paraId="37A6993D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</w:p>
    <w:p w14:paraId="0D5196AD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>FILENAME REFFILE '/home/gsturrock0/QTW/CaseStudy2/carmpgdata_26_2.csv';</w:t>
      </w:r>
    </w:p>
    <w:p w14:paraId="0E0E1257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</w:p>
    <w:p w14:paraId="4CE23C84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>PROC IMPORT DATAFILE=REFFILE</w:t>
      </w:r>
    </w:p>
    <w:p w14:paraId="1E38748A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ab/>
        <w:t>DBMS=CSV</w:t>
      </w:r>
    </w:p>
    <w:p w14:paraId="76DB8AC7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ab/>
        <w:t>OUT=WORK.carmpgdata;</w:t>
      </w:r>
    </w:p>
    <w:p w14:paraId="5F67DA6B" w14:textId="77777777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ab/>
        <w:t>GETNAMES=YES;</w:t>
      </w:r>
    </w:p>
    <w:p w14:paraId="781E9F56" w14:textId="233B23D9" w:rsidR="008050C9" w:rsidRPr="00297A32" w:rsidRDefault="008050C9" w:rsidP="008050C9">
      <w:pPr>
        <w:pStyle w:val="NoSpacing"/>
        <w:rPr>
          <w:rFonts w:ascii="Courier New" w:hAnsi="Courier New" w:cs="Courier New"/>
          <w:szCs w:val="24"/>
        </w:rPr>
      </w:pPr>
      <w:r w:rsidRPr="00297A32">
        <w:rPr>
          <w:rFonts w:ascii="Courier New" w:hAnsi="Courier New" w:cs="Courier New"/>
          <w:szCs w:val="24"/>
        </w:rPr>
        <w:t>RUN;</w:t>
      </w:r>
    </w:p>
    <w:sectPr w:rsidR="008050C9" w:rsidRPr="00297A3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7D351" w14:textId="77777777" w:rsidR="000E27CF" w:rsidRDefault="000E27CF" w:rsidP="00700307">
      <w:pPr>
        <w:spacing w:after="0" w:line="240" w:lineRule="auto"/>
      </w:pPr>
      <w:r>
        <w:separator/>
      </w:r>
    </w:p>
  </w:endnote>
  <w:endnote w:type="continuationSeparator" w:id="0">
    <w:p w14:paraId="4C0A66AB" w14:textId="77777777" w:rsidR="000E27CF" w:rsidRDefault="000E27CF" w:rsidP="0070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399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29C1F" w14:textId="4E29B03E" w:rsidR="00213812" w:rsidRDefault="00213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78E83" w14:textId="77777777" w:rsidR="00213812" w:rsidRDefault="00213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DE92" w14:textId="77777777" w:rsidR="000E27CF" w:rsidRDefault="000E27CF" w:rsidP="00700307">
      <w:pPr>
        <w:spacing w:after="0" w:line="240" w:lineRule="auto"/>
      </w:pPr>
      <w:r>
        <w:separator/>
      </w:r>
    </w:p>
  </w:footnote>
  <w:footnote w:type="continuationSeparator" w:id="0">
    <w:p w14:paraId="2259F058" w14:textId="77777777" w:rsidR="000E27CF" w:rsidRDefault="000E27CF" w:rsidP="0070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192D" w14:textId="739BBDB1" w:rsidR="00213812" w:rsidRPr="00DE03E7" w:rsidRDefault="00213812" w:rsidP="00700307">
    <w:pPr>
      <w:pStyle w:val="Title"/>
      <w:jc w:val="center"/>
      <w:rPr>
        <w:sz w:val="52"/>
        <w:szCs w:val="52"/>
      </w:rPr>
    </w:pPr>
    <w:r w:rsidRPr="00DE03E7">
      <w:rPr>
        <w:sz w:val="52"/>
        <w:szCs w:val="52"/>
      </w:rPr>
      <w:t xml:space="preserve">Unit </w:t>
    </w:r>
    <w:r w:rsidR="007366FB">
      <w:rPr>
        <w:sz w:val="52"/>
        <w:szCs w:val="52"/>
      </w:rPr>
      <w:t>4</w:t>
    </w:r>
    <w:r w:rsidRPr="00DE03E7">
      <w:rPr>
        <w:sz w:val="52"/>
        <w:szCs w:val="52"/>
      </w:rPr>
      <w:t xml:space="preserve"> Case Study – </w:t>
    </w:r>
    <w:r w:rsidR="007366FB">
      <w:rPr>
        <w:sz w:val="52"/>
        <w:szCs w:val="52"/>
      </w:rPr>
      <w:t>Time Series</w:t>
    </w:r>
  </w:p>
  <w:p w14:paraId="73C70839" w14:textId="4BF058AB" w:rsidR="00213812" w:rsidRPr="009D3120" w:rsidRDefault="00213812" w:rsidP="009D3120">
    <w:pPr>
      <w:pStyle w:val="NoSpacing"/>
      <w:jc w:val="center"/>
      <w:rPr>
        <w:sz w:val="28"/>
        <w:szCs w:val="28"/>
      </w:rPr>
    </w:pPr>
    <w:r w:rsidRPr="009D3120">
      <w:rPr>
        <w:sz w:val="28"/>
        <w:szCs w:val="28"/>
      </w:rPr>
      <w:t>Rangaswamy Nagarajan, Andrew Shen, Murtada Shubbar, George Sturrock</w:t>
    </w:r>
  </w:p>
  <w:p w14:paraId="5E8686F0" w14:textId="4F46EDF3" w:rsidR="00213812" w:rsidRPr="009D3120" w:rsidRDefault="00213812" w:rsidP="009D3120">
    <w:pPr>
      <w:pStyle w:val="NoSpacing"/>
      <w:jc w:val="center"/>
      <w:rPr>
        <w:sz w:val="28"/>
        <w:szCs w:val="28"/>
      </w:rPr>
    </w:pPr>
    <w:r w:rsidRPr="009D3120">
      <w:rPr>
        <w:sz w:val="28"/>
        <w:szCs w:val="28"/>
      </w:rPr>
      <w:t>MSDS 7333 – Quantifying the World</w:t>
    </w:r>
  </w:p>
  <w:p w14:paraId="6F2354DF" w14:textId="7591F388" w:rsidR="00213812" w:rsidRDefault="00213812" w:rsidP="009D3120">
    <w:pPr>
      <w:pStyle w:val="NoSpacing"/>
      <w:jc w:val="center"/>
      <w:rPr>
        <w:sz w:val="28"/>
        <w:szCs w:val="28"/>
      </w:rPr>
    </w:pPr>
    <w:r w:rsidRPr="009D3120">
      <w:rPr>
        <w:sz w:val="28"/>
        <w:szCs w:val="28"/>
      </w:rPr>
      <w:t>9/</w:t>
    </w:r>
    <w:r w:rsidR="007366FB">
      <w:rPr>
        <w:sz w:val="28"/>
        <w:szCs w:val="28"/>
      </w:rPr>
      <w:t>25</w:t>
    </w:r>
    <w:r w:rsidRPr="009D3120">
      <w:rPr>
        <w:sz w:val="28"/>
        <w:szCs w:val="28"/>
      </w:rPr>
      <w:t>/2018</w:t>
    </w:r>
  </w:p>
  <w:p w14:paraId="4F808FBA" w14:textId="77777777" w:rsidR="00213812" w:rsidRPr="00DE03E7" w:rsidRDefault="00213812" w:rsidP="009D3120">
    <w:pPr>
      <w:pStyle w:val="NoSpacing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902"/>
    <w:multiLevelType w:val="multilevel"/>
    <w:tmpl w:val="B59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93491B"/>
    <w:multiLevelType w:val="hybridMultilevel"/>
    <w:tmpl w:val="B8D4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F2405"/>
    <w:multiLevelType w:val="hybridMultilevel"/>
    <w:tmpl w:val="0D64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6A89"/>
    <w:multiLevelType w:val="hybridMultilevel"/>
    <w:tmpl w:val="FCE0C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62704"/>
    <w:multiLevelType w:val="hybridMultilevel"/>
    <w:tmpl w:val="E2022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A01C2"/>
    <w:multiLevelType w:val="hybridMultilevel"/>
    <w:tmpl w:val="24B82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7"/>
    <w:rsid w:val="000009A3"/>
    <w:rsid w:val="00012943"/>
    <w:rsid w:val="000349EF"/>
    <w:rsid w:val="00046C2A"/>
    <w:rsid w:val="0005026E"/>
    <w:rsid w:val="00083EB1"/>
    <w:rsid w:val="000A1109"/>
    <w:rsid w:val="000A662E"/>
    <w:rsid w:val="000B00B3"/>
    <w:rsid w:val="000C320D"/>
    <w:rsid w:val="000E27CF"/>
    <w:rsid w:val="000F7927"/>
    <w:rsid w:val="001029AC"/>
    <w:rsid w:val="00106033"/>
    <w:rsid w:val="00107081"/>
    <w:rsid w:val="0011354F"/>
    <w:rsid w:val="001A7A0E"/>
    <w:rsid w:val="001D0926"/>
    <w:rsid w:val="001F1500"/>
    <w:rsid w:val="001F5175"/>
    <w:rsid w:val="00213812"/>
    <w:rsid w:val="00222362"/>
    <w:rsid w:val="0024381F"/>
    <w:rsid w:val="00297A32"/>
    <w:rsid w:val="002F6607"/>
    <w:rsid w:val="003039BC"/>
    <w:rsid w:val="00325EE2"/>
    <w:rsid w:val="00364DBA"/>
    <w:rsid w:val="00371301"/>
    <w:rsid w:val="00374973"/>
    <w:rsid w:val="0037632E"/>
    <w:rsid w:val="00382241"/>
    <w:rsid w:val="003826FA"/>
    <w:rsid w:val="003874A1"/>
    <w:rsid w:val="003A2545"/>
    <w:rsid w:val="004341FD"/>
    <w:rsid w:val="00450940"/>
    <w:rsid w:val="00452486"/>
    <w:rsid w:val="004C57B2"/>
    <w:rsid w:val="004D5318"/>
    <w:rsid w:val="004D6B5D"/>
    <w:rsid w:val="005069C7"/>
    <w:rsid w:val="00520FC7"/>
    <w:rsid w:val="00523F23"/>
    <w:rsid w:val="00542490"/>
    <w:rsid w:val="00545339"/>
    <w:rsid w:val="005524BA"/>
    <w:rsid w:val="00590C1F"/>
    <w:rsid w:val="005F0CEE"/>
    <w:rsid w:val="006038E7"/>
    <w:rsid w:val="00605CE9"/>
    <w:rsid w:val="00607B96"/>
    <w:rsid w:val="00616F6F"/>
    <w:rsid w:val="00663360"/>
    <w:rsid w:val="00691642"/>
    <w:rsid w:val="006A74B4"/>
    <w:rsid w:val="006B7788"/>
    <w:rsid w:val="00700307"/>
    <w:rsid w:val="00703ABD"/>
    <w:rsid w:val="00705B14"/>
    <w:rsid w:val="00723886"/>
    <w:rsid w:val="007366FB"/>
    <w:rsid w:val="00755FC8"/>
    <w:rsid w:val="0078524F"/>
    <w:rsid w:val="008003AF"/>
    <w:rsid w:val="008050C9"/>
    <w:rsid w:val="0083337E"/>
    <w:rsid w:val="008429EF"/>
    <w:rsid w:val="008501C9"/>
    <w:rsid w:val="00870B1C"/>
    <w:rsid w:val="00876C1E"/>
    <w:rsid w:val="008916EA"/>
    <w:rsid w:val="00895DB9"/>
    <w:rsid w:val="008D1328"/>
    <w:rsid w:val="008E46F4"/>
    <w:rsid w:val="008F4F89"/>
    <w:rsid w:val="008F7A9D"/>
    <w:rsid w:val="00900061"/>
    <w:rsid w:val="00926B9D"/>
    <w:rsid w:val="00932AFA"/>
    <w:rsid w:val="0097225D"/>
    <w:rsid w:val="009905DE"/>
    <w:rsid w:val="0099294F"/>
    <w:rsid w:val="009C140F"/>
    <w:rsid w:val="009D3120"/>
    <w:rsid w:val="009D7AD2"/>
    <w:rsid w:val="009E0F19"/>
    <w:rsid w:val="00A46752"/>
    <w:rsid w:val="00A46E26"/>
    <w:rsid w:val="00A61FCC"/>
    <w:rsid w:val="00A775B3"/>
    <w:rsid w:val="00AF4C0C"/>
    <w:rsid w:val="00B033BD"/>
    <w:rsid w:val="00B621B9"/>
    <w:rsid w:val="00B7282E"/>
    <w:rsid w:val="00B764DB"/>
    <w:rsid w:val="00B76A7C"/>
    <w:rsid w:val="00B86399"/>
    <w:rsid w:val="00BF1DA0"/>
    <w:rsid w:val="00C47DFA"/>
    <w:rsid w:val="00C76988"/>
    <w:rsid w:val="00CC3823"/>
    <w:rsid w:val="00CC7383"/>
    <w:rsid w:val="00CD36CC"/>
    <w:rsid w:val="00D24034"/>
    <w:rsid w:val="00D858E8"/>
    <w:rsid w:val="00DD0B12"/>
    <w:rsid w:val="00DE03E7"/>
    <w:rsid w:val="00DE7D20"/>
    <w:rsid w:val="00E10C2B"/>
    <w:rsid w:val="00E60E91"/>
    <w:rsid w:val="00E87D4B"/>
    <w:rsid w:val="00EB2DDB"/>
    <w:rsid w:val="00EC1A57"/>
    <w:rsid w:val="00EC34E5"/>
    <w:rsid w:val="00F03E27"/>
    <w:rsid w:val="00F17572"/>
    <w:rsid w:val="00F50FB0"/>
    <w:rsid w:val="00FA072B"/>
    <w:rsid w:val="00FA5D7E"/>
    <w:rsid w:val="00F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40A1"/>
  <w15:chartTrackingRefBased/>
  <w15:docId w15:val="{553DD9A2-9B0F-4719-A0BC-9E724242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3E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2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307"/>
  </w:style>
  <w:style w:type="paragraph" w:styleId="Footer">
    <w:name w:val="footer"/>
    <w:basedOn w:val="Normal"/>
    <w:link w:val="FooterChar"/>
    <w:uiPriority w:val="99"/>
    <w:unhideWhenUsed/>
    <w:rsid w:val="0070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307"/>
  </w:style>
  <w:style w:type="paragraph" w:styleId="Title">
    <w:name w:val="Title"/>
    <w:basedOn w:val="Normal"/>
    <w:next w:val="Normal"/>
    <w:link w:val="TitleChar"/>
    <w:uiPriority w:val="10"/>
    <w:qFormat/>
    <w:rsid w:val="009D312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20"/>
    <w:rPr>
      <w:rFonts w:ascii="Arial Narrow" w:eastAsiaTheme="majorEastAsia" w:hAnsi="Arial Narrow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120"/>
    <w:rPr>
      <w:rFonts w:ascii="Arial Narrow" w:eastAsiaTheme="majorEastAsia" w:hAnsi="Arial Narrow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6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3120"/>
    <w:pPr>
      <w:spacing w:after="0" w:line="240" w:lineRule="auto"/>
    </w:pPr>
    <w:rPr>
      <w:rFonts w:ascii="Arial Narrow" w:hAnsi="Arial Narrow"/>
      <w:sz w:val="24"/>
    </w:rPr>
  </w:style>
  <w:style w:type="paragraph" w:styleId="ListParagraph">
    <w:name w:val="List Paragraph"/>
    <w:basedOn w:val="Normal"/>
    <w:uiPriority w:val="34"/>
    <w:qFormat/>
    <w:rsid w:val="001A7A0E"/>
    <w:pPr>
      <w:ind w:left="720"/>
      <w:contextualSpacing/>
    </w:pPr>
  </w:style>
  <w:style w:type="table" w:styleId="TableGrid">
    <w:name w:val="Table Grid"/>
    <w:basedOn w:val="TableNormal"/>
    <w:uiPriority w:val="39"/>
    <w:rsid w:val="00C4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57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F1500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12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2.06186.pdf" TargetMode="External"/><Relationship Id="rId13" Type="http://schemas.openxmlformats.org/officeDocument/2006/relationships/hyperlink" Target="https://www.aaii.com/journal/article/interpreting-the-sharpe-ratio.mobi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s/sharperatio.asp" TargetMode="External"/><Relationship Id="rId12" Type="http://schemas.openxmlformats.org/officeDocument/2006/relationships/hyperlink" Target="https://www.quantinsti.com/blog/portfolio-optimization-maximum-return-risk-ratio-python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stockoptions.com/content/what-is-a-lookba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enalexkeen.com/resampling-time-series-data-with-pandas/" TargetMode="External"/><Relationship Id="rId10" Type="http://schemas.openxmlformats.org/officeDocument/2006/relationships/hyperlink" Target="https://www.quantinsti.com/blog/volatility-and-measures-of-risk-adjusted-return-based-on-volatilit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uantinsti.com/blog/volatility-and-measures-of-risk-adjusted-return-based-on-volatility/" TargetMode="External"/><Relationship Id="rId14" Type="http://schemas.openxmlformats.org/officeDocument/2006/relationships/hyperlink" Target="https://www.investopedia.com/terms/a/adjusted_closing_pri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Sturrock, George</dc:creator>
  <cp:keywords/>
  <dc:description/>
  <cp:lastModifiedBy>Sturrock, George</cp:lastModifiedBy>
  <cp:revision>10</cp:revision>
  <dcterms:created xsi:type="dcterms:W3CDTF">2018-09-20T16:07:00Z</dcterms:created>
  <dcterms:modified xsi:type="dcterms:W3CDTF">2018-09-21T03:47:00Z</dcterms:modified>
</cp:coreProperties>
</file>