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PIM SOP (Enhanced)</w:t>
      </w:r>
    </w:p>
    <w:p>
      <w:pPr>
        <w:pStyle w:val="Heading1"/>
      </w:pPr>
      <w:r>
        <w:t>Purpose</w:t>
      </w:r>
    </w:p>
    <w:p>
      <w:r>
        <w:t>Manage privileged access using least privilege and just-in-time principles.</w:t>
      </w:r>
    </w:p>
    <w:p>
      <w:pPr>
        <w:pStyle w:val="Heading1"/>
      </w:pPr>
      <w:r>
        <w:t>Scope</w:t>
      </w:r>
    </w:p>
    <w:p>
      <w:r>
        <w:t>All privileged roles across Azure/Entra ID and enterprise systems.</w:t>
      </w:r>
    </w:p>
    <w:p>
      <w:pPr>
        <w:pStyle w:val="Heading1"/>
      </w:pPr>
      <w:r>
        <w:t>Roles &amp; Responsibilities</w:t>
      </w:r>
    </w:p>
    <w:p>
      <w:r>
        <w:t>- Security defines policies</w:t>
        <w:br/>
        <w:t>- IT manages PIM</w:t>
        <w:br/>
        <w:t>- Managers approve elevation</w:t>
      </w:r>
    </w:p>
    <w:p>
      <w:pPr>
        <w:pStyle w:val="Heading1"/>
      </w:pPr>
      <w:r>
        <w:t>Preconditions / Inputs</w:t>
      </w:r>
    </w:p>
    <w:p>
      <w:r>
        <w:t>Privileged role request, approval</w:t>
      </w:r>
    </w:p>
    <w:p>
      <w:pPr>
        <w:pStyle w:val="Heading1"/>
      </w:pPr>
      <w:r>
        <w:t>Procedure</w:t>
      </w:r>
    </w:p>
    <w:p>
      <w:r>
        <w:t>1. Configure role as eligible in PIM</w:t>
        <w:br/>
        <w:t>2. Require MFA and approval</w:t>
        <w:br/>
        <w:t>3. Activate role temporarily</w:t>
        <w:br/>
        <w:t>IF unusual activity → revoke access</w:t>
        <w:br/>
        <w:t>4. Log all activity</w:t>
        <w:br/>
        <w:t>5. Review regularly</w:t>
      </w:r>
    </w:p>
    <w:p>
      <w:pPr>
        <w:pStyle w:val="Heading1"/>
      </w:pPr>
      <w:r>
        <w:t>Azure Guidance</w:t>
      </w:r>
    </w:p>
    <w:p>
      <w:r>
        <w:t>Use Entra ID PIM for role eligibility, approval workflows, and access reviews.</w:t>
      </w:r>
    </w:p>
    <w:p>
      <w:pPr>
        <w:pStyle w:val="Heading1"/>
      </w:pPr>
      <w:r>
        <w:t>Controls &amp; Compliance Mapping</w:t>
      </w:r>
    </w:p>
    <w:p>
      <w:r>
        <w:t>NIST AC-2, AC-6, IA-2 | ISO A.9 | CIS 5,6</w:t>
      </w:r>
    </w:p>
    <w:p>
      <w:pPr>
        <w:pStyle w:val="Heading1"/>
      </w:pPr>
      <w:r>
        <w:t>Outputs</w:t>
      </w:r>
    </w:p>
    <w:p>
      <w:r>
        <w:t>Privileged access logs</w:t>
      </w:r>
    </w:p>
    <w:p>
      <w:pPr>
        <w:pStyle w:val="Heading1"/>
      </w:pPr>
      <w:r>
        <w:t>Audit Evidence</w:t>
      </w:r>
    </w:p>
    <w:p>
      <w:r>
        <w:t>PIM logs, approvals</w:t>
      </w:r>
    </w:p>
    <w:p>
      <w:pPr>
        <w:pStyle w:val="Heading1"/>
      </w:pPr>
      <w:r>
        <w:t>Exceptions</w:t>
      </w:r>
    </w:p>
    <w:p>
      <w:r>
        <w:t>Break-glass accounts monitored closely</w:t>
      </w:r>
    </w:p>
    <w:p>
      <w:pPr>
        <w:pStyle w:val="Heading1"/>
      </w:pPr>
      <w:r>
        <w:t>Revision History</w:t>
      </w:r>
    </w:p>
    <w:p>
      <w:r>
        <w:t>v2.0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