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60C6" w14:textId="77777777" w:rsidR="00FF7D4A" w:rsidRPr="00FF7D4A" w:rsidRDefault="00FF7D4A" w:rsidP="00806AB5">
      <w:pPr>
        <w:pStyle w:val="p1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 w:rsidRPr="00FF7D4A">
        <w:rPr>
          <w:rStyle w:val="s1"/>
          <w:rFonts w:ascii="Arial" w:hAnsi="Arial" w:cs="Arial"/>
          <w:sz w:val="22"/>
          <w:szCs w:val="22"/>
        </w:rPr>
        <w:t>1. Einleitung</w:t>
      </w:r>
    </w:p>
    <w:p w14:paraId="12DFEAE2" w14:textId="77777777" w:rsidR="00FF7D4A" w:rsidRDefault="00FF7D4A" w:rsidP="00806AB5">
      <w:pPr>
        <w:pStyle w:val="p1"/>
        <w:spacing w:before="0" w:beforeAutospacing="0" w:after="0" w:afterAutospacing="0" w:line="360" w:lineRule="auto"/>
        <w:rPr>
          <w:rStyle w:val="s1"/>
          <w:rFonts w:ascii="Arial" w:hAnsi="Arial" w:cs="Arial"/>
          <w:sz w:val="22"/>
          <w:szCs w:val="22"/>
        </w:rPr>
      </w:pPr>
      <w:r w:rsidRPr="00FF7D4A">
        <w:rPr>
          <w:rStyle w:val="s1"/>
          <w:rFonts w:ascii="Arial" w:hAnsi="Arial" w:cs="Arial"/>
          <w:sz w:val="22"/>
          <w:szCs w:val="22"/>
        </w:rPr>
        <w:t>2. Blut-Hirn-Schranke und Wirkstofftransport</w:t>
      </w:r>
    </w:p>
    <w:p w14:paraId="355C5B14" w14:textId="2A22C404" w:rsidR="00C13101" w:rsidRPr="00FF7D4A" w:rsidRDefault="00C13101" w:rsidP="00806AB5">
      <w:pPr>
        <w:pStyle w:val="p1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>
        <w:rPr>
          <w:rStyle w:val="s1"/>
          <w:rFonts w:ascii="Arial" w:hAnsi="Arial" w:cs="Arial"/>
          <w:sz w:val="22"/>
          <w:szCs w:val="22"/>
        </w:rPr>
        <w:tab/>
        <w:t xml:space="preserve">2.1 Definition </w:t>
      </w:r>
      <w:proofErr w:type="spellStart"/>
      <w:r w:rsidR="00F87F71">
        <w:rPr>
          <w:rStyle w:val="s1"/>
          <w:rFonts w:ascii="Arial" w:hAnsi="Arial" w:cs="Arial"/>
          <w:sz w:val="22"/>
          <w:szCs w:val="22"/>
        </w:rPr>
        <w:t>paptidbasierter</w:t>
      </w:r>
      <w:proofErr w:type="spellEnd"/>
      <w:r w:rsidR="00F87F71">
        <w:rPr>
          <w:rStyle w:val="s1"/>
          <w:rFonts w:ascii="Arial" w:hAnsi="Arial" w:cs="Arial"/>
          <w:sz w:val="22"/>
          <w:szCs w:val="22"/>
        </w:rPr>
        <w:t xml:space="preserve"> </w:t>
      </w:r>
      <w:proofErr w:type="spellStart"/>
      <w:r w:rsidR="00F87F71">
        <w:rPr>
          <w:rStyle w:val="s1"/>
          <w:rFonts w:ascii="Arial" w:hAnsi="Arial" w:cs="Arial"/>
          <w:sz w:val="22"/>
          <w:szCs w:val="22"/>
        </w:rPr>
        <w:t>Neurothera</w:t>
      </w:r>
      <w:r w:rsidR="00056325">
        <w:rPr>
          <w:rStyle w:val="s1"/>
          <w:rFonts w:ascii="Arial" w:hAnsi="Arial" w:cs="Arial"/>
          <w:sz w:val="22"/>
          <w:szCs w:val="22"/>
        </w:rPr>
        <w:t>peutiker</w:t>
      </w:r>
      <w:proofErr w:type="spellEnd"/>
    </w:p>
    <w:p w14:paraId="3342A1D1" w14:textId="077371B2" w:rsidR="00FF7D4A" w:rsidRPr="00FF7D4A" w:rsidRDefault="00FF7D4A" w:rsidP="00806AB5">
      <w:pPr>
        <w:pStyle w:val="p1"/>
        <w:spacing w:before="0" w:beforeAutospacing="0" w:after="0" w:afterAutospacing="0" w:line="360" w:lineRule="auto"/>
        <w:ind w:firstLine="708"/>
        <w:rPr>
          <w:rFonts w:ascii="Arial" w:hAnsi="Arial" w:cs="Arial"/>
          <w:sz w:val="22"/>
          <w:szCs w:val="22"/>
        </w:rPr>
      </w:pPr>
      <w:r w:rsidRPr="00FF7D4A">
        <w:rPr>
          <w:rStyle w:val="s2"/>
          <w:rFonts w:ascii="Arial" w:hAnsi="Arial" w:cs="Arial"/>
          <w:sz w:val="22"/>
          <w:szCs w:val="22"/>
        </w:rPr>
        <w:t>2.</w:t>
      </w:r>
      <w:r w:rsidR="00C13101">
        <w:rPr>
          <w:rStyle w:val="s2"/>
          <w:rFonts w:ascii="Arial" w:hAnsi="Arial" w:cs="Arial"/>
          <w:sz w:val="22"/>
          <w:szCs w:val="22"/>
        </w:rPr>
        <w:t>2</w:t>
      </w:r>
      <w:r w:rsidRPr="00FF7D4A">
        <w:rPr>
          <w:rStyle w:val="s2"/>
          <w:rFonts w:ascii="Arial" w:hAnsi="Arial" w:cs="Arial"/>
          <w:sz w:val="22"/>
          <w:szCs w:val="22"/>
        </w:rPr>
        <w:t xml:space="preserve"> Funktion und Herausforderungen</w:t>
      </w:r>
      <w:r w:rsidR="00056325">
        <w:rPr>
          <w:rStyle w:val="s2"/>
          <w:rFonts w:ascii="Arial" w:hAnsi="Arial" w:cs="Arial"/>
          <w:sz w:val="22"/>
          <w:szCs w:val="22"/>
        </w:rPr>
        <w:t xml:space="preserve"> von </w:t>
      </w:r>
      <w:proofErr w:type="spellStart"/>
      <w:r w:rsidR="00912812">
        <w:rPr>
          <w:rStyle w:val="s2"/>
          <w:rFonts w:ascii="Arial" w:hAnsi="Arial" w:cs="Arial"/>
          <w:sz w:val="22"/>
          <w:szCs w:val="22"/>
        </w:rPr>
        <w:t>Semax</w:t>
      </w:r>
      <w:proofErr w:type="spellEnd"/>
      <w:r w:rsidR="00912812">
        <w:rPr>
          <w:rStyle w:val="s2"/>
          <w:rFonts w:ascii="Arial" w:hAnsi="Arial" w:cs="Arial"/>
          <w:sz w:val="22"/>
          <w:szCs w:val="22"/>
        </w:rPr>
        <w:t xml:space="preserve"> als </w:t>
      </w:r>
      <w:proofErr w:type="spellStart"/>
      <w:r w:rsidR="00912812">
        <w:rPr>
          <w:rStyle w:val="s2"/>
          <w:rFonts w:ascii="Arial" w:hAnsi="Arial" w:cs="Arial"/>
          <w:sz w:val="22"/>
          <w:szCs w:val="22"/>
        </w:rPr>
        <w:t>Neurotherapeutiker</w:t>
      </w:r>
      <w:proofErr w:type="spellEnd"/>
    </w:p>
    <w:p w14:paraId="13BD474E" w14:textId="20F0FBED" w:rsidR="00FF7D4A" w:rsidRPr="00FF7D4A" w:rsidRDefault="00FF7D4A" w:rsidP="00806AB5">
      <w:pPr>
        <w:pStyle w:val="p1"/>
        <w:spacing w:before="0" w:beforeAutospacing="0" w:after="0" w:afterAutospacing="0" w:line="360" w:lineRule="auto"/>
        <w:ind w:firstLine="708"/>
        <w:rPr>
          <w:rFonts w:ascii="Arial" w:hAnsi="Arial" w:cs="Arial"/>
          <w:sz w:val="22"/>
          <w:szCs w:val="22"/>
        </w:rPr>
      </w:pPr>
      <w:r w:rsidRPr="00FF7D4A">
        <w:rPr>
          <w:rStyle w:val="s2"/>
          <w:rFonts w:ascii="Arial" w:hAnsi="Arial" w:cs="Arial"/>
          <w:sz w:val="22"/>
          <w:szCs w:val="22"/>
        </w:rPr>
        <w:t>2.</w:t>
      </w:r>
      <w:r w:rsidR="00C13101">
        <w:rPr>
          <w:rStyle w:val="s2"/>
          <w:rFonts w:ascii="Arial" w:hAnsi="Arial" w:cs="Arial"/>
          <w:sz w:val="22"/>
          <w:szCs w:val="22"/>
        </w:rPr>
        <w:t>3</w:t>
      </w:r>
      <w:r w:rsidRPr="00FF7D4A">
        <w:rPr>
          <w:rStyle w:val="s2"/>
          <w:rFonts w:ascii="Arial" w:hAnsi="Arial" w:cs="Arial"/>
          <w:sz w:val="22"/>
          <w:szCs w:val="22"/>
        </w:rPr>
        <w:t xml:space="preserve"> Intranasale Applikation</w:t>
      </w:r>
      <w:r w:rsidR="00885070">
        <w:rPr>
          <w:rStyle w:val="s2"/>
          <w:rFonts w:ascii="Arial" w:hAnsi="Arial" w:cs="Arial"/>
          <w:sz w:val="22"/>
          <w:szCs w:val="22"/>
        </w:rPr>
        <w:t xml:space="preserve"> von </w:t>
      </w:r>
      <w:proofErr w:type="spellStart"/>
      <w:r w:rsidR="00885070">
        <w:rPr>
          <w:rStyle w:val="s2"/>
          <w:rFonts w:ascii="Arial" w:hAnsi="Arial" w:cs="Arial"/>
          <w:sz w:val="22"/>
          <w:szCs w:val="22"/>
        </w:rPr>
        <w:t>Semax</w:t>
      </w:r>
      <w:proofErr w:type="spellEnd"/>
    </w:p>
    <w:p w14:paraId="5F654404" w14:textId="77777777" w:rsidR="00FF7D4A" w:rsidRPr="00FF7D4A" w:rsidRDefault="00FF7D4A" w:rsidP="00806AB5">
      <w:pPr>
        <w:pStyle w:val="p1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 w:rsidRPr="00FF7D4A">
        <w:rPr>
          <w:rStyle w:val="s1"/>
          <w:rFonts w:ascii="Arial" w:hAnsi="Arial" w:cs="Arial"/>
          <w:sz w:val="22"/>
          <w:szCs w:val="22"/>
        </w:rPr>
        <w:t xml:space="preserve">3. Eigenschaften und Wirkungsweise von </w:t>
      </w:r>
      <w:proofErr w:type="spellStart"/>
      <w:r w:rsidRPr="00FF7D4A">
        <w:rPr>
          <w:rStyle w:val="s1"/>
          <w:rFonts w:ascii="Arial" w:hAnsi="Arial" w:cs="Arial"/>
          <w:sz w:val="22"/>
          <w:szCs w:val="22"/>
        </w:rPr>
        <w:t>Semax</w:t>
      </w:r>
      <w:proofErr w:type="spellEnd"/>
    </w:p>
    <w:p w14:paraId="4AEF2EA3" w14:textId="3DC29335" w:rsidR="00FF7D4A" w:rsidRPr="00FF7D4A" w:rsidRDefault="00FF7D4A" w:rsidP="00806AB5">
      <w:pPr>
        <w:pStyle w:val="p1"/>
        <w:spacing w:before="0" w:beforeAutospacing="0" w:after="0" w:afterAutospacing="0" w:line="360" w:lineRule="auto"/>
        <w:ind w:firstLine="708"/>
        <w:rPr>
          <w:rFonts w:ascii="Arial" w:hAnsi="Arial" w:cs="Arial"/>
          <w:sz w:val="22"/>
          <w:szCs w:val="22"/>
        </w:rPr>
      </w:pPr>
      <w:r w:rsidRPr="00FF7D4A">
        <w:rPr>
          <w:rStyle w:val="s2"/>
          <w:rFonts w:ascii="Arial" w:hAnsi="Arial" w:cs="Arial"/>
          <w:sz w:val="22"/>
          <w:szCs w:val="22"/>
        </w:rPr>
        <w:t>3.1 Entwicklung sowie chemische Struktur und Stabilität</w:t>
      </w:r>
      <w:r w:rsidR="00A06331">
        <w:rPr>
          <w:rStyle w:val="s2"/>
          <w:rFonts w:ascii="Arial" w:hAnsi="Arial" w:cs="Arial"/>
          <w:sz w:val="22"/>
          <w:szCs w:val="22"/>
        </w:rPr>
        <w:t xml:space="preserve"> von </w:t>
      </w:r>
      <w:proofErr w:type="spellStart"/>
      <w:r w:rsidR="00A06331">
        <w:rPr>
          <w:rStyle w:val="s2"/>
          <w:rFonts w:ascii="Arial" w:hAnsi="Arial" w:cs="Arial"/>
          <w:sz w:val="22"/>
          <w:szCs w:val="22"/>
        </w:rPr>
        <w:t>Semax</w:t>
      </w:r>
      <w:proofErr w:type="spellEnd"/>
    </w:p>
    <w:p w14:paraId="54DCED3E" w14:textId="542AE79A" w:rsidR="00FF7D4A" w:rsidRPr="00FF7D4A" w:rsidRDefault="00FF7D4A" w:rsidP="00806AB5">
      <w:pPr>
        <w:pStyle w:val="p1"/>
        <w:spacing w:before="0" w:beforeAutospacing="0" w:after="0" w:afterAutospacing="0" w:line="360" w:lineRule="auto"/>
        <w:ind w:firstLine="708"/>
        <w:rPr>
          <w:rFonts w:ascii="Arial" w:hAnsi="Arial" w:cs="Arial"/>
          <w:sz w:val="22"/>
          <w:szCs w:val="22"/>
        </w:rPr>
      </w:pPr>
      <w:r w:rsidRPr="00FF7D4A">
        <w:rPr>
          <w:rStyle w:val="s2"/>
          <w:rFonts w:ascii="Arial" w:hAnsi="Arial" w:cs="Arial"/>
          <w:sz w:val="22"/>
          <w:szCs w:val="22"/>
        </w:rPr>
        <w:t>3.2 Pharmakologische Wirkmechanismen</w:t>
      </w:r>
      <w:r w:rsidR="00885070">
        <w:rPr>
          <w:rStyle w:val="s2"/>
          <w:rFonts w:ascii="Arial" w:hAnsi="Arial" w:cs="Arial"/>
          <w:sz w:val="22"/>
          <w:szCs w:val="22"/>
        </w:rPr>
        <w:t xml:space="preserve"> von </w:t>
      </w:r>
      <w:proofErr w:type="spellStart"/>
      <w:r w:rsidR="00885070">
        <w:rPr>
          <w:rStyle w:val="s2"/>
          <w:rFonts w:ascii="Arial" w:hAnsi="Arial" w:cs="Arial"/>
          <w:sz w:val="22"/>
          <w:szCs w:val="22"/>
        </w:rPr>
        <w:t>Semax</w:t>
      </w:r>
      <w:proofErr w:type="spellEnd"/>
    </w:p>
    <w:p w14:paraId="4D934BF0" w14:textId="2654508C" w:rsidR="00FF7D4A" w:rsidRPr="00FF7D4A" w:rsidRDefault="00FF7D4A" w:rsidP="00806AB5">
      <w:pPr>
        <w:pStyle w:val="p1"/>
        <w:spacing w:before="0" w:beforeAutospacing="0" w:after="0" w:afterAutospacing="0" w:line="360" w:lineRule="auto"/>
        <w:ind w:firstLine="708"/>
        <w:rPr>
          <w:rFonts w:ascii="Arial" w:hAnsi="Arial" w:cs="Arial"/>
          <w:sz w:val="22"/>
          <w:szCs w:val="22"/>
        </w:rPr>
      </w:pPr>
      <w:r w:rsidRPr="00FF7D4A">
        <w:rPr>
          <w:rStyle w:val="s2"/>
          <w:rFonts w:ascii="Arial" w:hAnsi="Arial" w:cs="Arial"/>
          <w:sz w:val="22"/>
          <w:szCs w:val="22"/>
        </w:rPr>
        <w:t>3.3 Pharmakokinetik und Anwendungsgebiete</w:t>
      </w:r>
      <w:r w:rsidR="00885070">
        <w:rPr>
          <w:rStyle w:val="s2"/>
          <w:rFonts w:ascii="Arial" w:hAnsi="Arial" w:cs="Arial"/>
          <w:sz w:val="22"/>
          <w:szCs w:val="22"/>
        </w:rPr>
        <w:t xml:space="preserve"> von dem Polypeptid </w:t>
      </w:r>
      <w:proofErr w:type="spellStart"/>
      <w:r w:rsidR="00885070">
        <w:rPr>
          <w:rStyle w:val="s2"/>
          <w:rFonts w:ascii="Arial" w:hAnsi="Arial" w:cs="Arial"/>
          <w:sz w:val="22"/>
          <w:szCs w:val="22"/>
        </w:rPr>
        <w:t>Semax</w:t>
      </w:r>
      <w:proofErr w:type="spellEnd"/>
    </w:p>
    <w:p w14:paraId="26D50217" w14:textId="77777777" w:rsidR="00FF7D4A" w:rsidRPr="00FF7D4A" w:rsidRDefault="00FF7D4A" w:rsidP="00806AB5">
      <w:pPr>
        <w:pStyle w:val="p1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 w:rsidRPr="00FF7D4A">
        <w:rPr>
          <w:rStyle w:val="s1"/>
          <w:rFonts w:ascii="Arial" w:hAnsi="Arial" w:cs="Arial"/>
          <w:sz w:val="22"/>
          <w:szCs w:val="22"/>
        </w:rPr>
        <w:t xml:space="preserve">4. Empirischer Teil: Umfrage zu </w:t>
      </w:r>
      <w:proofErr w:type="spellStart"/>
      <w:r w:rsidRPr="00FF7D4A">
        <w:rPr>
          <w:rStyle w:val="s1"/>
          <w:rFonts w:ascii="Arial" w:hAnsi="Arial" w:cs="Arial"/>
          <w:sz w:val="22"/>
          <w:szCs w:val="22"/>
        </w:rPr>
        <w:t>Semax</w:t>
      </w:r>
      <w:proofErr w:type="spellEnd"/>
    </w:p>
    <w:p w14:paraId="54BE0645" w14:textId="29DAC725" w:rsidR="00FF7D4A" w:rsidRPr="00FF7D4A" w:rsidRDefault="00FF7D4A" w:rsidP="00806AB5">
      <w:pPr>
        <w:pStyle w:val="p1"/>
        <w:spacing w:before="0" w:beforeAutospacing="0" w:after="0" w:afterAutospacing="0" w:line="360" w:lineRule="auto"/>
        <w:ind w:firstLine="708"/>
        <w:rPr>
          <w:rFonts w:ascii="Arial" w:hAnsi="Arial" w:cs="Arial"/>
          <w:sz w:val="22"/>
          <w:szCs w:val="22"/>
        </w:rPr>
      </w:pPr>
      <w:r w:rsidRPr="00FF7D4A">
        <w:rPr>
          <w:rStyle w:val="s2"/>
          <w:rFonts w:ascii="Arial" w:hAnsi="Arial" w:cs="Arial"/>
          <w:sz w:val="22"/>
          <w:szCs w:val="22"/>
        </w:rPr>
        <w:t>4.1 Methodik</w:t>
      </w:r>
      <w:r w:rsidR="00A06331">
        <w:rPr>
          <w:rStyle w:val="s2"/>
          <w:rFonts w:ascii="Arial" w:hAnsi="Arial" w:cs="Arial"/>
          <w:sz w:val="22"/>
          <w:szCs w:val="22"/>
        </w:rPr>
        <w:t xml:space="preserve"> der </w:t>
      </w:r>
      <w:proofErr w:type="spellStart"/>
      <w:r w:rsidR="00A06331">
        <w:rPr>
          <w:rStyle w:val="s2"/>
          <w:rFonts w:ascii="Arial" w:hAnsi="Arial" w:cs="Arial"/>
          <w:sz w:val="22"/>
          <w:szCs w:val="22"/>
        </w:rPr>
        <w:t>Unfrage</w:t>
      </w:r>
      <w:proofErr w:type="spellEnd"/>
      <w:r w:rsidR="00A06331">
        <w:rPr>
          <w:rStyle w:val="s2"/>
          <w:rFonts w:ascii="Arial" w:hAnsi="Arial" w:cs="Arial"/>
          <w:sz w:val="22"/>
          <w:szCs w:val="22"/>
        </w:rPr>
        <w:t xml:space="preserve"> zu dem </w:t>
      </w:r>
      <w:proofErr w:type="spellStart"/>
      <w:r w:rsidR="00A06331">
        <w:rPr>
          <w:rStyle w:val="s2"/>
          <w:rFonts w:ascii="Arial" w:hAnsi="Arial" w:cs="Arial"/>
          <w:sz w:val="22"/>
          <w:szCs w:val="22"/>
        </w:rPr>
        <w:t>polypeptide</w:t>
      </w:r>
      <w:proofErr w:type="spellEnd"/>
      <w:r w:rsidR="00A06331">
        <w:rPr>
          <w:rStyle w:val="s2"/>
          <w:rFonts w:ascii="Arial" w:hAnsi="Arial" w:cs="Arial"/>
          <w:sz w:val="22"/>
          <w:szCs w:val="22"/>
        </w:rPr>
        <w:t xml:space="preserve"> </w:t>
      </w:r>
      <w:proofErr w:type="spellStart"/>
      <w:r w:rsidR="00A06331">
        <w:rPr>
          <w:rStyle w:val="s2"/>
          <w:rFonts w:ascii="Arial" w:hAnsi="Arial" w:cs="Arial"/>
          <w:sz w:val="22"/>
          <w:szCs w:val="22"/>
        </w:rPr>
        <w:t>Semax</w:t>
      </w:r>
      <w:proofErr w:type="spellEnd"/>
    </w:p>
    <w:p w14:paraId="312EBE06" w14:textId="3876138E" w:rsidR="00FF7D4A" w:rsidRPr="00FF7D4A" w:rsidRDefault="00FF7D4A" w:rsidP="00806AB5">
      <w:pPr>
        <w:pStyle w:val="p1"/>
        <w:spacing w:before="0" w:beforeAutospacing="0" w:after="0" w:afterAutospacing="0" w:line="360" w:lineRule="auto"/>
        <w:ind w:firstLine="708"/>
        <w:rPr>
          <w:rFonts w:ascii="Arial" w:hAnsi="Arial" w:cs="Arial"/>
          <w:sz w:val="22"/>
          <w:szCs w:val="22"/>
        </w:rPr>
      </w:pPr>
      <w:r w:rsidRPr="00FF7D4A">
        <w:rPr>
          <w:rStyle w:val="s2"/>
          <w:rFonts w:ascii="Arial" w:hAnsi="Arial" w:cs="Arial"/>
          <w:sz w:val="22"/>
          <w:szCs w:val="22"/>
        </w:rPr>
        <w:t>4.2 Ergebnisse und Diskussion</w:t>
      </w:r>
      <w:r w:rsidR="00A06331">
        <w:rPr>
          <w:rStyle w:val="s2"/>
          <w:rFonts w:ascii="Arial" w:hAnsi="Arial" w:cs="Arial"/>
          <w:sz w:val="22"/>
          <w:szCs w:val="22"/>
        </w:rPr>
        <w:t xml:space="preserve"> der Umfrage</w:t>
      </w:r>
    </w:p>
    <w:p w14:paraId="59D652E3" w14:textId="066351EF" w:rsidR="00FF7D4A" w:rsidRPr="00FF7D4A" w:rsidRDefault="00FF7D4A" w:rsidP="00806AB5">
      <w:pPr>
        <w:pStyle w:val="p1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 w:rsidRPr="00FF7D4A">
        <w:rPr>
          <w:rStyle w:val="s1"/>
          <w:rFonts w:ascii="Arial" w:hAnsi="Arial" w:cs="Arial"/>
          <w:sz w:val="22"/>
          <w:szCs w:val="22"/>
        </w:rPr>
        <w:t xml:space="preserve">5. Kritische Bewertung von </w:t>
      </w:r>
      <w:proofErr w:type="spellStart"/>
      <w:r w:rsidRPr="00FF7D4A">
        <w:rPr>
          <w:rStyle w:val="s1"/>
          <w:rFonts w:ascii="Arial" w:hAnsi="Arial" w:cs="Arial"/>
          <w:sz w:val="22"/>
          <w:szCs w:val="22"/>
        </w:rPr>
        <w:t>Semax</w:t>
      </w:r>
      <w:proofErr w:type="spellEnd"/>
    </w:p>
    <w:p w14:paraId="62790348" w14:textId="5D023FCF" w:rsidR="00FF7D4A" w:rsidRPr="00FF7D4A" w:rsidRDefault="00FF7D4A" w:rsidP="00806AB5">
      <w:pPr>
        <w:pStyle w:val="p1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 w:rsidRPr="00FF7D4A">
        <w:rPr>
          <w:rStyle w:val="s1"/>
          <w:rFonts w:ascii="Arial" w:hAnsi="Arial" w:cs="Arial"/>
          <w:sz w:val="22"/>
          <w:szCs w:val="22"/>
        </w:rPr>
        <w:t>6. Fazit und Ausblick</w:t>
      </w:r>
    </w:p>
    <w:p w14:paraId="5C85BFAA" w14:textId="32411338" w:rsidR="00FF7D4A" w:rsidRPr="00FF7D4A" w:rsidRDefault="00FF7D4A" w:rsidP="00806AB5">
      <w:pPr>
        <w:pStyle w:val="p1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 w:rsidRPr="00FF7D4A">
        <w:rPr>
          <w:rStyle w:val="s1"/>
          <w:rFonts w:ascii="Arial" w:hAnsi="Arial" w:cs="Arial"/>
          <w:sz w:val="22"/>
          <w:szCs w:val="22"/>
        </w:rPr>
        <w:t>7. Literaturverzeichnis</w:t>
      </w:r>
    </w:p>
    <w:p w14:paraId="1158A45B" w14:textId="4D6B24AA" w:rsidR="00FF7D4A" w:rsidRPr="00FF7D4A" w:rsidRDefault="00FF7D4A" w:rsidP="00806AB5">
      <w:pPr>
        <w:pStyle w:val="p1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 w:rsidRPr="00FF7D4A">
        <w:rPr>
          <w:rStyle w:val="s1"/>
          <w:rFonts w:ascii="Arial" w:hAnsi="Arial" w:cs="Arial"/>
          <w:sz w:val="22"/>
          <w:szCs w:val="22"/>
        </w:rPr>
        <w:t>8. Anhang</w:t>
      </w:r>
    </w:p>
    <w:p w14:paraId="468B2DCE" w14:textId="5807551B" w:rsidR="00FF7D4A" w:rsidRPr="00FF7D4A" w:rsidRDefault="00FF7D4A" w:rsidP="00806AB5">
      <w:pPr>
        <w:pStyle w:val="p1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 w:rsidRPr="00FF7D4A">
        <w:rPr>
          <w:rStyle w:val="s1"/>
          <w:rFonts w:ascii="Arial" w:hAnsi="Arial" w:cs="Arial"/>
          <w:sz w:val="22"/>
          <w:szCs w:val="22"/>
        </w:rPr>
        <w:t>9. Erklärung zur Nutzung von KI</w:t>
      </w:r>
    </w:p>
    <w:p w14:paraId="64691AF7" w14:textId="77777777" w:rsidR="00FF7D4A" w:rsidRPr="00FF7D4A" w:rsidRDefault="00FF7D4A" w:rsidP="00806AB5">
      <w:pPr>
        <w:pStyle w:val="p1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 w:rsidRPr="00FF7D4A">
        <w:rPr>
          <w:rStyle w:val="s1"/>
          <w:rFonts w:ascii="Arial" w:hAnsi="Arial" w:cs="Arial"/>
          <w:sz w:val="22"/>
          <w:szCs w:val="22"/>
        </w:rPr>
        <w:t>10. Selbstständigkeitserklärung</w:t>
      </w:r>
    </w:p>
    <w:p w14:paraId="40936A9B" w14:textId="77777777" w:rsidR="00FF7D4A" w:rsidRPr="00FF7D4A" w:rsidRDefault="00FF7D4A" w:rsidP="00806AB5">
      <w:pPr>
        <w:spacing w:after="0" w:line="360" w:lineRule="auto"/>
        <w:rPr>
          <w:rFonts w:ascii="Arial" w:hAnsi="Arial" w:cs="Arial"/>
          <w:sz w:val="22"/>
          <w:szCs w:val="22"/>
        </w:rPr>
      </w:pPr>
    </w:p>
    <w:sectPr w:rsidR="00FF7D4A" w:rsidRPr="00FF7D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4A"/>
    <w:rsid w:val="00031DC8"/>
    <w:rsid w:val="00056325"/>
    <w:rsid w:val="00806AB5"/>
    <w:rsid w:val="00885070"/>
    <w:rsid w:val="00912812"/>
    <w:rsid w:val="00937A3D"/>
    <w:rsid w:val="00A06331"/>
    <w:rsid w:val="00C13101"/>
    <w:rsid w:val="00C23DFB"/>
    <w:rsid w:val="00E23D74"/>
    <w:rsid w:val="00F87F71"/>
    <w:rsid w:val="00FF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814BD"/>
  <w15:chartTrackingRefBased/>
  <w15:docId w15:val="{B673A822-C5E5-A14A-9E4E-561242A3D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4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F7D4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F7D4A"/>
  </w:style>
  <w:style w:type="character" w:customStyle="1" w:styleId="s2">
    <w:name w:val="s2"/>
    <w:basedOn w:val="DefaultParagraphFont"/>
    <w:rsid w:val="00FF7D4A"/>
  </w:style>
  <w:style w:type="paragraph" w:customStyle="1" w:styleId="p2">
    <w:name w:val="p2"/>
    <w:basedOn w:val="Normal"/>
    <w:rsid w:val="00FF7D4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626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Gürster jun.</dc:creator>
  <cp:keywords/>
  <dc:description/>
  <cp:lastModifiedBy>Georg Gürster jun.</cp:lastModifiedBy>
  <cp:revision>2</cp:revision>
  <dcterms:created xsi:type="dcterms:W3CDTF">2026-05-07T16:25:00Z</dcterms:created>
  <dcterms:modified xsi:type="dcterms:W3CDTF">2026-05-07T16:25:00Z</dcterms:modified>
</cp:coreProperties>
</file>