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 Gallery Management System — Chapter III</w:t>
      </w:r>
    </w:p>
    <w:p>
      <w:pPr>
        <w:pStyle w:val="Author"/>
      </w:pPr>
      <w:r>
        <w:t xml:space="preserve">Georgiana Valentina Spătaru — Group 263 CTI</w:t>
      </w:r>
    </w:p>
    <w:p>
      <w:pPr>
        <w:pStyle w:val="BlockText"/>
      </w:pPr>
      <w:r>
        <w:rPr>
          <w:b/>
          <w:bCs/>
        </w:rPr>
        <w:t xml:space="preserve">Documentation status:</w:t>
      </w:r>
      <w:r>
        <w:t xml:space="preserve"> </w:t>
      </w:r>
      <w:r>
        <w:t xml:space="preserve">This chapter is an updated English version of the</w:t>
      </w:r>
      <w:r>
        <w:t xml:space="preserve"> </w:t>
      </w:r>
      <w:r>
        <w:t xml:space="preserve">original Chapter III template. It keeps the original requirements while</w:t>
      </w:r>
      <w:r>
        <w:t xml:space="preserve"> </w:t>
      </w:r>
      <w:r>
        <w:t xml:space="preserve">documenting the current implementation.</w:t>
      </w:r>
    </w:p>
    <w:bookmarkStart w:id="20" w:name="chapter-iii-web-application"/>
    <w:p>
      <w:pPr>
        <w:pStyle w:val="Heading1"/>
      </w:pPr>
      <w:r>
        <w:t xml:space="preserve">Chapter III — Web application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 full-stack web application was implemented to interact with the art gallery</w:t>
      </w:r>
      <w:r>
        <w:t xml:space="preserve"> </w:t>
      </w:r>
      <w:r>
        <w:t xml:space="preserve">database. The interface allows users to view and manage data, while the</w:t>
      </w:r>
      <w:r>
        <w:t xml:space="preserve"> </w:t>
      </w:r>
      <w:r>
        <w:t xml:space="preserve">Express server exposes a secured REST API.</w:t>
      </w:r>
    </w:p>
    <w:bookmarkEnd w:id="9"/>
    <w:bookmarkStart w:id="10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01"/>
        </w:numPr>
      </w:pPr>
      <w:r>
        <w:t xml:space="preserve">Oracle Database XE;</w:t>
      </w:r>
    </w:p>
    <w:p>
      <w:pPr>
        <w:pStyle w:val="Compact"/>
        <w:numPr>
          <w:ilvl w:val="0"/>
          <w:numId w:val="1001"/>
        </w:numPr>
      </w:pPr>
      <w:r>
        <w:t xml:space="preserve">Node.js and Express;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oracledb</w:t>
      </w:r>
      <w:r>
        <w:t xml:space="preserve"> </w:t>
      </w:r>
      <w:r>
        <w:t xml:space="preserve">driver in Thin mode;</w:t>
      </w:r>
    </w:p>
    <w:p>
      <w:pPr>
        <w:pStyle w:val="Compact"/>
        <w:numPr>
          <w:ilvl w:val="0"/>
          <w:numId w:val="1001"/>
        </w:numPr>
      </w:pPr>
      <w:r>
        <w:t xml:space="preserve">HTML5, CSS3 and Vanilla JavaScript;</w:t>
      </w:r>
    </w:p>
    <w:p>
      <w:pPr>
        <w:pStyle w:val="Compact"/>
        <w:numPr>
          <w:ilvl w:val="0"/>
          <w:numId w:val="1001"/>
        </w:numPr>
      </w:pPr>
      <w:r>
        <w:t xml:space="preserve">JWT and bcrypt;</w:t>
      </w:r>
    </w:p>
    <w:p>
      <w:pPr>
        <w:pStyle w:val="Compact"/>
        <w:numPr>
          <w:ilvl w:val="0"/>
          <w:numId w:val="1001"/>
        </w:numPr>
      </w:pPr>
      <w:r>
        <w:t xml:space="preserve">Multer for file uploads;</w:t>
      </w:r>
    </w:p>
    <w:p>
      <w:pPr>
        <w:pStyle w:val="Compact"/>
        <w:numPr>
          <w:ilvl w:val="0"/>
          <w:numId w:val="1001"/>
        </w:numPr>
      </w:pPr>
      <w:r>
        <w:t xml:space="preserve">Jest and Supertest;</w:t>
      </w:r>
    </w:p>
    <w:p>
      <w:pPr>
        <w:pStyle w:val="Compact"/>
        <w:numPr>
          <w:ilvl w:val="0"/>
          <w:numId w:val="1001"/>
        </w:numPr>
      </w:pPr>
      <w:r>
        <w:t xml:space="preserve">Docker and Docker Compose;</w:t>
      </w:r>
    </w:p>
    <w:p>
      <w:pPr>
        <w:pStyle w:val="Compact"/>
        <w:numPr>
          <w:ilvl w:val="0"/>
          <w:numId w:val="1001"/>
        </w:numPr>
      </w:pPr>
      <w:r>
        <w:t xml:space="preserve">GitHub Actions and Dependabot.</w:t>
      </w:r>
    </w:p>
    <w:bookmarkEnd w:id="10"/>
    <w:bookmarkStart w:id="11" w:name="application-architecture"/>
    <w:p>
      <w:pPr>
        <w:pStyle w:val="Heading2"/>
      </w:pPr>
      <w:r>
        <w:t xml:space="preserve">Application architecture</w:t>
      </w:r>
    </w:p>
    <w:p>
      <w:pPr>
        <w:pStyle w:val="FirstParagraph"/>
      </w:pPr>
      <w:r>
        <w:t xml:space="preserve">The browser communicates with the Express application through HTTP. The server</w:t>
      </w:r>
      <w:r>
        <w:t xml:space="preserve"> </w:t>
      </w:r>
      <w:r>
        <w:t xml:space="preserve">validates each request, checks authentication and authorization, and then</w:t>
      </w:r>
      <w:r>
        <w:t xml:space="preserve"> </w:t>
      </w:r>
      <w:r>
        <w:t xml:space="preserve">calls services that use the Oracle connection pool.</w:t>
      </w:r>
    </w:p>
    <w:p>
      <w:pPr>
        <w:pStyle w:val="BodyText"/>
      </w:pPr>
      <w:r>
        <w:t xml:space="preserve">The API uses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methods. Responses are</w:t>
      </w:r>
      <w:r>
        <w:t xml:space="preserve"> </w:t>
      </w:r>
      <w:r>
        <w:t xml:space="preserve">standardized as JSON envelopes, and list endpoints support pagination.</w:t>
      </w:r>
    </w:p>
    <w:bookmarkEnd w:id="11"/>
    <w:bookmarkStart w:id="12" w:name="authentication-and-roles"/>
    <w:p>
      <w:pPr>
        <w:pStyle w:val="Heading2"/>
      </w:pPr>
      <w:r>
        <w:t xml:space="preserve">Authentication and roles</w:t>
      </w:r>
    </w:p>
    <w:p>
      <w:pPr>
        <w:pStyle w:val="FirstParagraph"/>
      </w:pPr>
      <w:r>
        <w:t xml:space="preserve">Users authenticate with either a username or an email address. The server</w:t>
      </w:r>
      <w:r>
        <w:t xml:space="preserve"> </w:t>
      </w:r>
      <w:r>
        <w:t xml:space="preserve">checks the password with bcrypt and issues a JWT. The frontend stores the token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and sends it through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</w:t>
      </w:r>
    </w:p>
    <w:p>
      <w:pPr>
        <w:pStyle w:val="BodyText"/>
      </w:pPr>
      <w:r>
        <w:t xml:space="preserve">Available roles: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VIEWER</w:t>
      </w:r>
      <w:r>
        <w:t xml:space="preserve"> </w:t>
      </w:r>
      <w:r>
        <w:t xml:space="preserve">— read-only access;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CURATOR</w:t>
      </w:r>
      <w:r>
        <w:t xml:space="preserve"> </w:t>
      </w:r>
      <w:r>
        <w:t xml:space="preserve">— create, update and upload artwork images;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— full CRUD and role administration.</w:t>
      </w:r>
    </w:p>
    <w:bookmarkEnd w:id="12"/>
    <w:bookmarkStart w:id="13" w:name="listing-search-and-sorting"/>
    <w:p>
      <w:pPr>
        <w:pStyle w:val="Heading2"/>
      </w:pPr>
      <w:r>
        <w:t xml:space="preserve">Listing, search and sorting</w:t>
      </w:r>
    </w:p>
    <w:p>
      <w:pPr>
        <w:pStyle w:val="FirstParagraph"/>
      </w:pPr>
      <w:r>
        <w:t xml:space="preserve">Each resource supports:</w:t>
      </w:r>
    </w:p>
    <w:p>
      <w:pPr>
        <w:pStyle w:val="Compact"/>
        <w:numPr>
          <w:ilvl w:val="0"/>
          <w:numId w:val="1003"/>
        </w:numPr>
      </w:pPr>
      <w:r>
        <w:t xml:space="preserve">paginated listing;</w:t>
      </w:r>
    </w:p>
    <w:p>
      <w:pPr>
        <w:pStyle w:val="Compact"/>
        <w:numPr>
          <w:ilvl w:val="0"/>
          <w:numId w:val="1003"/>
        </w:numPr>
      </w:pPr>
      <w:r>
        <w:t xml:space="preserve">debounced search;</w:t>
      </w:r>
    </w:p>
    <w:p>
      <w:pPr>
        <w:pStyle w:val="Compact"/>
        <w:numPr>
          <w:ilvl w:val="0"/>
          <w:numId w:val="1003"/>
        </w:numPr>
      </w:pPr>
      <w:r>
        <w:t xml:space="preserve">sorting by permitted columns;</w:t>
      </w:r>
    </w:p>
    <w:p>
      <w:pPr>
        <w:pStyle w:val="Compact"/>
        <w:numPr>
          <w:ilvl w:val="0"/>
          <w:numId w:val="1003"/>
        </w:numPr>
      </w:pPr>
      <w:r>
        <w:t xml:space="preserve">loading and empty states;</w:t>
      </w:r>
    </w:p>
    <w:p>
      <w:pPr>
        <w:pStyle w:val="Compact"/>
        <w:numPr>
          <w:ilvl w:val="0"/>
          <w:numId w:val="1003"/>
        </w:numPr>
      </w:pPr>
      <w:r>
        <w:t xml:space="preserve">explicit error messages.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/api/artworks?page=1&amp;limit=20&amp;search=landscape&amp;sortBy=TITLU&amp;sortOrder=ASC</w:t>
      </w:r>
    </w:p>
    <w:p>
      <w:pPr>
        <w:pStyle w:val="FirstParagraph"/>
      </w:pPr>
      <w:r>
        <w:t xml:space="preserve">All request parameters are validated on the server. SQL values use bind</w:t>
      </w:r>
      <w:r>
        <w:t xml:space="preserve"> </w:t>
      </w:r>
      <w:r>
        <w:t xml:space="preserve">variables, while table and column identifiers are selected from allowlists.</w:t>
      </w:r>
    </w:p>
    <w:bookmarkEnd w:id="13"/>
    <w:bookmarkStart w:id="14" w:name="updating-and-deleting-records"/>
    <w:p>
      <w:pPr>
        <w:pStyle w:val="Heading2"/>
      </w:pPr>
      <w:r>
        <w:t xml:space="preserve">Updating and deleting records</w:t>
      </w:r>
    </w:p>
    <w:p>
      <w:pPr>
        <w:pStyle w:val="FirstParagraph"/>
      </w:pPr>
      <w:r>
        <w:t xml:space="preserve">Users with the</w:t>
      </w:r>
      <w:r>
        <w:t xml:space="preserve"> </w:t>
      </w:r>
      <w:r>
        <w:rPr>
          <w:rStyle w:val="VerbatimChar"/>
        </w:rPr>
        <w:t xml:space="preserve">CURATOR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can create and update records.</w:t>
      </w:r>
      <w:r>
        <w:t xml:space="preserve"> </w:t>
      </w:r>
      <w:r>
        <w:t xml:space="preserve">Deletion is restricted to administrators. Junction table operations use</w:t>
      </w:r>
      <w:r>
        <w:t xml:space="preserve"> </w:t>
      </w:r>
      <w:r>
        <w:t xml:space="preserve">composite keys.</w:t>
      </w:r>
    </w:p>
    <w:p>
      <w:pPr>
        <w:pStyle w:val="BodyText"/>
      </w:pPr>
      <w:r>
        <w:t xml:space="preserve">The shared frontend API client:</w:t>
      </w:r>
    </w:p>
    <w:p>
      <w:pPr>
        <w:pStyle w:val="Compact"/>
        <w:numPr>
          <w:ilvl w:val="0"/>
          <w:numId w:val="1004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response.ok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interprets the JSON response envelope;</w:t>
      </w:r>
    </w:p>
    <w:p>
      <w:pPr>
        <w:pStyle w:val="Compact"/>
        <w:numPr>
          <w:ilvl w:val="0"/>
          <w:numId w:val="1004"/>
        </w:numPr>
      </w:pPr>
      <w:r>
        <w:t xml:space="preserve">handles HTTP errors by status class;</w:t>
      </w:r>
    </w:p>
    <w:p>
      <w:pPr>
        <w:pStyle w:val="Compact"/>
        <w:numPr>
          <w:ilvl w:val="0"/>
          <w:numId w:val="1004"/>
        </w:numPr>
      </w:pPr>
      <w:r>
        <w:t xml:space="preserve">removes the token when the session expires.</w:t>
      </w:r>
    </w:p>
    <w:bookmarkEnd w:id="14"/>
    <w:bookmarkStart w:id="15" w:name="reports-and-dashboard"/>
    <w:p>
      <w:pPr>
        <w:pStyle w:val="Heading2"/>
      </w:pPr>
      <w:r>
        <w:t xml:space="preserve">Reports and dashboard</w:t>
      </w:r>
    </w:p>
    <w:p>
      <w:pPr>
        <w:pStyle w:val="FirstParagraph"/>
      </w:pPr>
      <w:r>
        <w:t xml:space="preserve">The dashboard displays totals for galleries, artists, artworks, exhibitions,</w:t>
      </w:r>
      <w:r>
        <w:t xml:space="preserve"> </w:t>
      </w:r>
      <w:r>
        <w:t xml:space="preserve">locations, sponsors and awards. The API can also return chart series.</w:t>
      </w:r>
    </w:p>
    <w:p>
      <w:pPr>
        <w:pStyle w:val="BodyText"/>
      </w:pPr>
      <w:r>
        <w:t xml:space="preserve">The reports include:</w:t>
      </w:r>
    </w:p>
    <w:p>
      <w:pPr>
        <w:pStyle w:val="Compact"/>
        <w:numPr>
          <w:ilvl w:val="0"/>
          <w:numId w:val="1005"/>
        </w:numPr>
      </w:pPr>
      <w:r>
        <w:t xml:space="preserve">exposed artworks filtered by entrance fee and exhibition year;</w:t>
      </w:r>
    </w:p>
    <w:p>
      <w:pPr>
        <w:pStyle w:val="Compact"/>
        <w:numPr>
          <w:ilvl w:val="0"/>
          <w:numId w:val="1005"/>
        </w:numPr>
      </w:pPr>
      <w:r>
        <w:t xml:space="preserve">artists grouped by exposure count using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additional reports for galleries, sponsors, awards and locations.</w:t>
      </w:r>
    </w:p>
    <w:bookmarkEnd w:id="15"/>
    <w:bookmarkStart w:id="16" w:name="cascade-and-restrict"/>
    <w:p>
      <w:pPr>
        <w:pStyle w:val="Heading2"/>
      </w:pPr>
      <w:r>
        <w:t xml:space="preserve">CASCADE and RESTRICT</w:t>
      </w:r>
    </w:p>
    <w:p>
      <w:pPr>
        <w:pStyle w:val="FirstParagraph"/>
      </w:pPr>
      <w:r>
        <w:t xml:space="preserve">The demonstration page allows the user to select a record and preview its</w:t>
      </w:r>
      <w:r>
        <w:t xml:space="preserve"> </w:t>
      </w:r>
      <w:r>
        <w:t xml:space="preserve">dependent records before deletion. The backend returns the expected impact,</w:t>
      </w:r>
      <w:r>
        <w:t xml:space="preserve"> </w:t>
      </w:r>
      <w:r>
        <w:t xml:space="preserve">while Oracle applies the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or restrictive behavior defined</w:t>
      </w:r>
      <w:r>
        <w:t xml:space="preserve"> </w:t>
      </w:r>
      <w:r>
        <w:t xml:space="preserve">by the schema.</w:t>
      </w:r>
    </w:p>
    <w:bookmarkEnd w:id="16"/>
    <w:bookmarkStart w:id="17" w:name="database-views"/>
    <w:p>
      <w:pPr>
        <w:pStyle w:val="Heading2"/>
      </w:pPr>
      <w:r>
        <w:t xml:space="preserve">Database views</w:t>
      </w:r>
    </w:p>
    <w:p>
      <w:pPr>
        <w:pStyle w:val="FirstParagraph"/>
      </w:pPr>
      <w:r>
        <w:t xml:space="preserve">The application uses two views: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VIEW_OPERE_ARTISTI</w:t>
      </w:r>
      <w:r>
        <w:t xml:space="preserve">, for reading artworks together with artists;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VIEW_STATISTICI_GALERII_PICTURA</w:t>
      </w:r>
      <w:r>
        <w:t xml:space="preserve">, for aggregated painting-gallery</w:t>
      </w:r>
      <w:r>
        <w:t xml:space="preserve"> </w:t>
      </w:r>
      <w:r>
        <w:t xml:space="preserve">statistics.</w:t>
      </w:r>
    </w:p>
    <w:p>
      <w:pPr>
        <w:pStyle w:val="FirstParagraph"/>
      </w:pPr>
      <w:r>
        <w:t xml:space="preserve">View names and SQL definitions are controlled exclusively on the server. The</w:t>
      </w:r>
      <w:r>
        <w:t xml:space="preserve"> </w:t>
      </w:r>
      <w:r>
        <w:t xml:space="preserve">client cannot submit arbitrary SQL.</w:t>
      </w:r>
    </w:p>
    <w:bookmarkEnd w:id="17"/>
    <w:bookmarkStart w:id="18" w:name="image-uploads"/>
    <w:p>
      <w:pPr>
        <w:pStyle w:val="Heading2"/>
      </w:pPr>
      <w:r>
        <w:t xml:space="preserve">Image uploads</w:t>
      </w:r>
    </w:p>
    <w:p>
      <w:pPr>
        <w:pStyle w:val="FirstParagraph"/>
      </w:pPr>
      <w:r>
        <w:t xml:space="preserve">Curators and administrators can upload artwork images. JPEG, PNG and WebP are</w:t>
      </w:r>
      <w:r>
        <w:t xml:space="preserve"> </w:t>
      </w:r>
      <w:r>
        <w:t xml:space="preserve">accepted. The file is checked through its MIME type and binary signature, and</w:t>
      </w:r>
      <w:r>
        <w:t xml:space="preserve"> </w:t>
      </w:r>
      <w:r>
        <w:t xml:space="preserve">the filename is generated as a UUID to prevent collisions and user-controlled</w:t>
      </w:r>
      <w:r>
        <w:t xml:space="preserve"> </w:t>
      </w:r>
      <w:r>
        <w:t xml:space="preserve">filenames.</w:t>
      </w:r>
    </w:p>
    <w:bookmarkEnd w:id="18"/>
    <w:bookmarkStart w:id="19" w:name="testing-and-delivery"/>
    <w:p>
      <w:pPr>
        <w:pStyle w:val="Heading2"/>
      </w:pPr>
      <w:r>
        <w:t xml:space="preserve">Testing and delivery</w:t>
      </w:r>
    </w:p>
    <w:p>
      <w:pPr>
        <w:pStyle w:val="FirstParagraph"/>
      </w:pPr>
      <w:r>
        <w:t xml:space="preserve">The application includes Jest and Supertest tests, ESLint and Prettier</w:t>
      </w:r>
      <w:r>
        <w:t xml:space="preserve"> </w:t>
      </w:r>
      <w:r>
        <w:t xml:space="preserve">checks, coverage reporting and a GitHub Actions workflow. Docker Compose can</w:t>
      </w:r>
      <w:r>
        <w:t xml:space="preserve"> </w:t>
      </w:r>
      <w:r>
        <w:t xml:space="preserve">start the application together with Oracle XE.</w:t>
      </w:r>
    </w:p>
    <w:p>
      <w:pPr>
        <w:pStyle w:val="BodyText"/>
      </w:pPr>
      <w:r>
        <w:t xml:space="preserve">This implementation extends the initial requirements with authentication,</w:t>
      </w:r>
      <w:r>
        <w:t xml:space="preserve"> </w:t>
      </w:r>
      <w:r>
        <w:t xml:space="preserve">authorization, validation, automated testing, CI and containerized delivery.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 Gallery Management System — Chapter III</dc:title>
  <dc:creator>Georgiana Valentina Spătaru — Group 263 CTI</dc:creator>
  <dc:language>en</dc:language>
  <cp:keywords/>
  <dcterms:created xsi:type="dcterms:W3CDTF">2026-10-13T16:17:45Z</dcterms:created>
  <dcterms:modified xsi:type="dcterms:W3CDTF">2026-10-13T16:17:45Z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margin=2.5cm</vt:lpwstr>
  </property>
</Properties>
</file>