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 Gallery Management System</w:t>
      </w:r>
    </w:p>
    <w:p>
      <w:pPr>
        <w:pStyle w:val="Author"/>
      </w:pPr>
      <w:r>
        <w:t xml:space="preserve">Georgiana Valentina Spătaru — Group 263 CTI</w:t>
      </w:r>
    </w:p>
    <w:p>
      <w:pPr>
        <w:pStyle w:val="BlockText"/>
      </w:pPr>
      <w:r>
        <w:rPr>
          <w:b/>
          <w:bCs/>
        </w:rPr>
        <w:t xml:space="preserve">Documentation status:</w:t>
      </w:r>
      <w:r>
        <w:t xml:space="preserve"> </w:t>
      </w:r>
      <w:r>
        <w:t xml:space="preserve">This document is an updated English version of the</w:t>
      </w:r>
      <w:r>
        <w:t xml:space="preserve"> </w:t>
      </w:r>
      <w:r>
        <w:t xml:space="preserve">original project documentation. It preserves the original academic content</w:t>
      </w:r>
      <w:r>
        <w:t xml:space="preserve"> </w:t>
      </w:r>
      <w:r>
        <w:t xml:space="preserve">while incorporating the current full-stack implementation, security model,</w:t>
      </w:r>
      <w:r>
        <w:t xml:space="preserve"> </w:t>
      </w:r>
      <w:r>
        <w:t xml:space="preserve">testing strategy and deployment configuration.</w:t>
      </w:r>
    </w:p>
    <w:bookmarkStart w:id="12" w:name="Xd9ad21f30a67032afd0f37bcd4b95c3e3861776"/>
    <w:p>
      <w:pPr>
        <w:pStyle w:val="Heading1"/>
      </w:pPr>
      <w:r>
        <w:t xml:space="preserve">Chapter I — System analysis and data modeling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project implements a management system for a network of art galleries.</w:t>
      </w:r>
      <w:r>
        <w:t xml:space="preserve"> </w:t>
      </w:r>
      <w:r>
        <w:t xml:space="preserve">Its purpose is to centralize information about gallery branches, artists,</w:t>
      </w:r>
      <w:r>
        <w:t xml:space="preserve"> </w:t>
      </w:r>
      <w:r>
        <w:t xml:space="preserve">artworks, exhibitions, locations, sponsors and awards, while also providing a</w:t>
      </w:r>
      <w:r>
        <w:t xml:space="preserve"> </w:t>
      </w:r>
      <w:r>
        <w:t xml:space="preserve">web interface for managing this data.</w:t>
      </w:r>
    </w:p>
    <w:p>
      <w:pPr>
        <w:pStyle w:val="BodyText"/>
      </w:pPr>
      <w:r>
        <w:t xml:space="preserve">The system is not limited to a single gallery. A branch can organize multiple</w:t>
      </w:r>
      <w:r>
        <w:t xml:space="preserve"> </w:t>
      </w:r>
      <w:r>
        <w:t xml:space="preserve">exhibitions, collaborate with multiple sponsors and display artworks created by</w:t>
      </w:r>
      <w:r>
        <w:t xml:space="preserve"> </w:t>
      </w:r>
      <w:r>
        <w:t xml:space="preserve">different artists.</w:t>
      </w:r>
    </w:p>
    <w:bookmarkEnd w:id="9"/>
    <w:bookmarkStart w:id="10" w:name="entities-and-relationships"/>
    <w:p>
      <w:pPr>
        <w:pStyle w:val="Heading2"/>
      </w:pPr>
      <w:r>
        <w:t xml:space="preserve">Entities and relationships</w:t>
      </w:r>
    </w:p>
    <w:p>
      <w:pPr>
        <w:pStyle w:val="FirstParagraph"/>
      </w:pPr>
      <w:r>
        <w:t xml:space="preserve">The main entities are: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SEDIU</w:t>
      </w:r>
      <w:r>
        <w:t xml:space="preserve"> </w:t>
      </w:r>
      <w:r>
        <w:t xml:space="preserve">— galleries in the network;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ARTIST</w:t>
      </w:r>
      <w:r>
        <w:t xml:space="preserve"> </w:t>
      </w:r>
      <w:r>
        <w:t xml:space="preserve">— artwork creators;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OPERA</w:t>
      </w:r>
      <w:r>
        <w:t xml:space="preserve"> </w:t>
      </w:r>
      <w:r>
        <w:t xml:space="preserve">— artworks;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EXPOZITIE</w:t>
      </w:r>
      <w:r>
        <w:t xml:space="preserve"> </w:t>
      </w:r>
      <w:r>
        <w:t xml:space="preserve">— exhibitions organized by galleries;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LOCATIE</w:t>
      </w:r>
      <w:r>
        <w:t xml:space="preserve"> </w:t>
      </w:r>
      <w:r>
        <w:t xml:space="preserve">— physical exhibition locations;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SPONSOR</w:t>
      </w:r>
      <w:r>
        <w:t xml:space="preserve"> </w:t>
      </w:r>
      <w:r>
        <w:t xml:space="preserve">— companies or individuals providing support;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PREMIU</w:t>
      </w:r>
      <w:r>
        <w:t xml:space="preserve"> </w:t>
      </w:r>
      <w:r>
        <w:t xml:space="preserve">— artistic awards;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application users.</w:t>
      </w:r>
    </w:p>
    <w:p>
      <w:pPr>
        <w:pStyle w:val="FirstParagraph"/>
      </w:pPr>
      <w:r>
        <w:t xml:space="preserve">Many-to-many relationships are modeled through: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SPONSORIZARE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SEDIU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SPONSOR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EXPOZITIE_OPERA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EXPOZITIE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OPERA_PREMIU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OPERA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PREMIU</w:t>
      </w:r>
      <w:r>
        <w:t xml:space="preserve">.</w:t>
      </w:r>
    </w:p>
    <w:p>
      <w:pPr>
        <w:pStyle w:val="FirstParagraph"/>
      </w:pPr>
      <w:r>
        <w:t xml:space="preserve">The updated relational diagram is available in</w:t>
      </w:r>
      <w:r>
        <w:t xml:space="preserve"> </w:t>
      </w:r>
      <w:r>
        <w:rPr>
          <w:rStyle w:val="VerbatimChar"/>
        </w:rPr>
        <w:t xml:space="preserve">docs/ERD.md</w:t>
      </w:r>
      <w:r>
        <w:t xml:space="preserve">.</w:t>
      </w:r>
    </w:p>
    <w:bookmarkEnd w:id="10"/>
    <w:bookmarkStart w:id="11" w:name="integrity-rules"/>
    <w:p>
      <w:pPr>
        <w:pStyle w:val="Heading2"/>
      </w:pPr>
      <w:r>
        <w:t xml:space="preserve">Integrity rules</w:t>
      </w:r>
    </w:p>
    <w:p>
      <w:pPr>
        <w:pStyle w:val="FirstParagraph"/>
      </w:pPr>
      <w:r>
        <w:t xml:space="preserve">The Oracle schema uses primary keys, foreign keys,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an artwork must have a title and an artist;</w:t>
      </w:r>
    </w:p>
    <w:p>
      <w:pPr>
        <w:pStyle w:val="Compact"/>
        <w:numPr>
          <w:ilvl w:val="0"/>
          <w:numId w:val="1003"/>
        </w:numPr>
      </w:pPr>
      <w:r>
        <w:t xml:space="preserve">an exhibition must have a name and a start date;</w:t>
      </w:r>
    </w:p>
    <w:p>
      <w:pPr>
        <w:pStyle w:val="Compact"/>
        <w:numPr>
          <w:ilvl w:val="0"/>
          <w:numId w:val="1003"/>
        </w:numPr>
      </w:pPr>
      <w:r>
        <w:t xml:space="preserve">artwork dimensions must be positive;</w:t>
      </w:r>
    </w:p>
    <w:p>
      <w:pPr>
        <w:pStyle w:val="Compact"/>
        <w:numPr>
          <w:ilvl w:val="0"/>
          <w:numId w:val="1003"/>
        </w:numPr>
      </w:pPr>
      <w:r>
        <w:t xml:space="preserve">entrance fees cannot be negative;</w:t>
      </w:r>
    </w:p>
    <w:p>
      <w:pPr>
        <w:pStyle w:val="Compact"/>
        <w:numPr>
          <w:ilvl w:val="0"/>
          <w:numId w:val="1003"/>
        </w:numPr>
      </w:pPr>
      <w:r>
        <w:t xml:space="preserve">an exhibition end date, when present, cannot precede its start date;</w:t>
      </w:r>
    </w:p>
    <w:p>
      <w:pPr>
        <w:pStyle w:val="Compact"/>
        <w:numPr>
          <w:ilvl w:val="0"/>
          <w:numId w:val="1003"/>
        </w:numPr>
      </w:pPr>
      <w:r>
        <w:t xml:space="preserve">user usernames and email addresses are unique;</w:t>
      </w:r>
    </w:p>
    <w:p>
      <w:pPr>
        <w:pStyle w:val="Compact"/>
        <w:numPr>
          <w:ilvl w:val="0"/>
          <w:numId w:val="1003"/>
        </w:numPr>
      </w:pPr>
      <w:r>
        <w:t xml:space="preserve">accepted roles are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CURATOR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.</w:t>
      </w:r>
    </w:p>
    <w:p>
      <w:pPr>
        <w:pStyle w:val="FirstParagraph"/>
      </w:pPr>
      <w:r>
        <w:t xml:space="preserve">Generated identifiers start at 1000. Demo data uses explicit identifiers and</w:t>
      </w:r>
      <w:r>
        <w:t xml:space="preserve"> </w:t>
      </w:r>
      <w:r>
        <w:t xml:space="preserve">does not require separate ID ranges for different entity types.</w:t>
      </w:r>
    </w:p>
    <w:bookmarkEnd w:id="11"/>
    <w:bookmarkEnd w:id="12"/>
    <w:bookmarkStart w:id="17" w:name="Xefd01090cc95956c705ce7de6f74a251be81d70"/>
    <w:p>
      <w:pPr>
        <w:pStyle w:val="Heading1"/>
      </w:pPr>
      <w:r>
        <w:t xml:space="preserve">Chapter II — Database design and implementation</w:t>
      </w:r>
    </w:p>
    <w:bookmarkStart w:id="13" w:name="oracle-database"/>
    <w:p>
      <w:pPr>
        <w:pStyle w:val="Heading2"/>
      </w:pPr>
      <w:r>
        <w:t xml:space="preserve">Oracle Database</w:t>
      </w:r>
    </w:p>
    <w:p>
      <w:pPr>
        <w:pStyle w:val="FirstParagraph"/>
      </w:pPr>
      <w:r>
        <w:t xml:space="preserve">The database is implemented in Oracle Database and accessed from Node.js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oracledb</w:t>
      </w:r>
      <w:r>
        <w:t xml:space="preserve"> </w:t>
      </w:r>
      <w:r>
        <w:t xml:space="preserve">driver in Thin mode. The database layer is organized as</w:t>
      </w:r>
      <w:r>
        <w:t xml:space="preserve"> </w:t>
      </w:r>
      <w:r>
        <w:t xml:space="preserve">follows: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db/schema.sql</w:t>
      </w:r>
      <w:r>
        <w:t xml:space="preserve"> </w:t>
      </w:r>
      <w:r>
        <w:t xml:space="preserve">— table definitions;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db/constraints.sql</w:t>
      </w:r>
      <w:r>
        <w:t xml:space="preserve"> </w:t>
      </w:r>
      <w:r>
        <w:t xml:space="preserve">— keys and integrity rules;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db/views.sql</w:t>
      </w:r>
      <w:r>
        <w:t xml:space="preserve"> </w:t>
      </w:r>
      <w:r>
        <w:t xml:space="preserve">— application views;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db/seed.sql</w:t>
      </w:r>
      <w:r>
        <w:t xml:space="preserve"> </w:t>
      </w:r>
      <w:r>
        <w:t xml:space="preserve">— demo data;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scripts/db-setup.js</w:t>
      </w:r>
      <w:r>
        <w:t xml:space="preserve"> </w:t>
      </w:r>
      <w:r>
        <w:t xml:space="preserve">— setup, seed and controlled reset operations.</w:t>
      </w:r>
    </w:p>
    <w:p>
      <w:pPr>
        <w:pStyle w:val="FirstParagraph"/>
      </w:pPr>
      <w:r>
        <w:t xml:space="preserve">The Oracle pool is not initialized when database variables are missing. This</w:t>
      </w:r>
      <w:r>
        <w:t xml:space="preserve"> </w:t>
      </w:r>
      <w:r>
        <w:t xml:space="preserve">allows the health endpoint and database-independent tests to run before Oracle</w:t>
      </w:r>
      <w:r>
        <w:t xml:space="preserve"> </w:t>
      </w:r>
      <w:r>
        <w:t xml:space="preserve">is configured.</w:t>
      </w:r>
    </w:p>
    <w:bookmarkEnd w:id="13"/>
    <w:bookmarkStart w:id="14" w:name="delete-propagation"/>
    <w:p>
      <w:pPr>
        <w:pStyle w:val="Heading2"/>
      </w:pPr>
      <w:r>
        <w:t xml:space="preserve">Delete propagation</w:t>
      </w:r>
    </w:p>
    <w:p>
      <w:pPr>
        <w:pStyle w:val="FirstParagraph"/>
      </w:pPr>
      <w:r>
        <w:t xml:space="preserve">Relationships using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are used for dependencies that can be</w:t>
      </w:r>
      <w:r>
        <w:t xml:space="preserve"> </w:t>
      </w:r>
      <w:r>
        <w:t xml:space="preserve">removed automatically:</w:t>
      </w:r>
    </w:p>
    <w:p>
      <w:pPr>
        <w:pStyle w:val="Compact"/>
        <w:numPr>
          <w:ilvl w:val="0"/>
          <w:numId w:val="1005"/>
        </w:numPr>
      </w:pPr>
      <w:r>
        <w:t xml:space="preserve">deleting an artist removes the associated artworks;</w:t>
      </w:r>
    </w:p>
    <w:p>
      <w:pPr>
        <w:pStyle w:val="Compact"/>
        <w:numPr>
          <w:ilvl w:val="0"/>
          <w:numId w:val="1005"/>
        </w:numPr>
      </w:pPr>
      <w:r>
        <w:t xml:space="preserve">deleting an artwork removes links from</w:t>
      </w:r>
      <w:r>
        <w:t xml:space="preserve"> </w:t>
      </w:r>
      <w:r>
        <w:rPr>
          <w:rStyle w:val="VerbatimChar"/>
        </w:rPr>
        <w:t xml:space="preserve">EXPOZITIE_OPERA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OPERA_PREMIU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deleting a gallery branch removes its sponsorship links;</w:t>
      </w:r>
    </w:p>
    <w:p>
      <w:pPr>
        <w:pStyle w:val="Compact"/>
        <w:numPr>
          <w:ilvl w:val="0"/>
          <w:numId w:val="1005"/>
        </w:numPr>
      </w:pPr>
      <w:r>
        <w:t xml:space="preserve">deleting a sponsor removes its sponsorship links;</w:t>
      </w:r>
    </w:p>
    <w:p>
      <w:pPr>
        <w:pStyle w:val="Compact"/>
        <w:numPr>
          <w:ilvl w:val="0"/>
          <w:numId w:val="1005"/>
        </w:numPr>
      </w:pPr>
      <w:r>
        <w:t xml:space="preserve">deleting an exhibition removes its artwork links.</w:t>
      </w:r>
    </w:p>
    <w:p>
      <w:pPr>
        <w:pStyle w:val="FirstParagraph"/>
      </w:pPr>
      <w:r>
        <w:t xml:space="preserve">No delete propagation is defined for</w:t>
      </w:r>
      <w:r>
        <w:t xml:space="preserve"> </w:t>
      </w:r>
      <w:r>
        <w:rPr>
          <w:rStyle w:val="VerbatimChar"/>
        </w:rPr>
        <w:t xml:space="preserve">EXPOZITIE -&gt; SEDIU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EXPOZITIE -&gt; LOCATIE</w:t>
      </w:r>
      <w:r>
        <w:t xml:space="preserve">; existing references therefore restrict deletion of the</w:t>
      </w:r>
      <w:r>
        <w:t xml:space="preserve"> </w:t>
      </w:r>
      <w:r>
        <w:t xml:space="preserve">parent record.</w:t>
      </w:r>
    </w:p>
    <w:p>
      <w:pPr>
        <w:pStyle w:val="BodyText"/>
      </w:pPr>
      <w:r>
        <w:t xml:space="preserve">The application also provides a read-only impact endpoint:</w:t>
      </w:r>
      <w:r>
        <w:t xml:space="preserve"> </w:t>
      </w:r>
      <w:r>
        <w:rPr>
          <w:rStyle w:val="VerbatimChar"/>
        </w:rPr>
        <w:t xml:space="preserve">GET /api/cascade/check/:table/:id</w:t>
      </w:r>
      <w:r>
        <w:t xml:space="preserve">.</w:t>
      </w:r>
    </w:p>
    <w:bookmarkEnd w:id="14"/>
    <w:bookmarkStart w:id="15" w:name="database-views"/>
    <w:p>
      <w:pPr>
        <w:pStyle w:val="Heading2"/>
      </w:pPr>
      <w:r>
        <w:t xml:space="preserve">Database views</w:t>
      </w:r>
    </w:p>
    <w:p>
      <w:pPr>
        <w:pStyle w:val="FirstParagraph"/>
      </w:pPr>
      <w:r>
        <w:rPr>
          <w:rStyle w:val="VerbatimChar"/>
        </w:rPr>
        <w:t xml:space="preserve">VIEW_OPERE_ARTISTI</w:t>
      </w:r>
      <w:r>
        <w:t xml:space="preserve"> </w:t>
      </w:r>
      <w:r>
        <w:t xml:space="preserve">combines artworks with artist information.</w:t>
      </w:r>
      <w:r>
        <w:t xml:space="preserve"> </w:t>
      </w:r>
      <w:r>
        <w:rPr>
          <w:rStyle w:val="VerbatimChar"/>
        </w:rPr>
        <w:t xml:space="preserve">VIEW_STATISTICI_GALERII_PICTURA</w:t>
      </w:r>
      <w:r>
        <w:t xml:space="preserve"> </w:t>
      </w:r>
      <w:r>
        <w:t xml:space="preserve">calculates the number of artworks, number of</w:t>
      </w:r>
      <w:r>
        <w:t xml:space="preserve"> </w:t>
      </w:r>
      <w:r>
        <w:t xml:space="preserve">artists, average artwork area and largest artwork for painting galleries.</w:t>
      </w:r>
    </w:p>
    <w:p>
      <w:pPr>
        <w:pStyle w:val="BodyText"/>
      </w:pPr>
      <w:r>
        <w:t xml:space="preserve">Views can only be recreated from a server-side allowlist. The client cannot</w:t>
      </w:r>
      <w:r>
        <w:t xml:space="preserve"> </w:t>
      </w:r>
      <w:r>
        <w:t xml:space="preserve">submit arbitrary SQL. In the application, views are used for reading; data</w:t>
      </w:r>
      <w:r>
        <w:t xml:space="preserve"> </w:t>
      </w:r>
      <w:r>
        <w:t xml:space="preserve">modifications are performed through CRUD endpoints for the underlying tables.</w:t>
      </w:r>
    </w:p>
    <w:bookmarkEnd w:id="15"/>
    <w:bookmarkStart w:id="16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t xml:space="preserve">The application includes reports for:</w:t>
      </w:r>
    </w:p>
    <w:p>
      <w:pPr>
        <w:pStyle w:val="Compact"/>
        <w:numPr>
          <w:ilvl w:val="0"/>
          <w:numId w:val="1006"/>
        </w:numPr>
      </w:pPr>
      <w:r>
        <w:t xml:space="preserve">exposed artworks filtered by minimum entrance fee and exhibition year;</w:t>
      </w:r>
    </w:p>
    <w:p>
      <w:pPr>
        <w:pStyle w:val="Compact"/>
        <w:numPr>
          <w:ilvl w:val="0"/>
          <w:numId w:val="1006"/>
        </w:numPr>
      </w:pPr>
      <w:r>
        <w:t xml:space="preserve">artists with a minimum number of exposures using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artists ordered by exposure count;</w:t>
      </w:r>
    </w:p>
    <w:p>
      <w:pPr>
        <w:pStyle w:val="Compact"/>
        <w:numPr>
          <w:ilvl w:val="0"/>
          <w:numId w:val="1006"/>
        </w:numPr>
      </w:pPr>
      <w:r>
        <w:t xml:space="preserve">galleries ordered by exhibition count;</w:t>
      </w:r>
    </w:p>
    <w:p>
      <w:pPr>
        <w:pStyle w:val="Compact"/>
        <w:numPr>
          <w:ilvl w:val="0"/>
          <w:numId w:val="1006"/>
        </w:numPr>
      </w:pPr>
      <w:r>
        <w:t xml:space="preserve">sponsors ordered by sponsorship value;</w:t>
      </w:r>
    </w:p>
    <w:p>
      <w:pPr>
        <w:pStyle w:val="Compact"/>
        <w:numPr>
          <w:ilvl w:val="0"/>
          <w:numId w:val="1006"/>
        </w:numPr>
      </w:pPr>
      <w:r>
        <w:t xml:space="preserve">artworks without exhibitions;</w:t>
      </w:r>
    </w:p>
    <w:p>
      <w:pPr>
        <w:pStyle w:val="Compact"/>
        <w:numPr>
          <w:ilvl w:val="0"/>
          <w:numId w:val="1006"/>
        </w:numPr>
      </w:pPr>
      <w:r>
        <w:t xml:space="preserve">artists whose artworks received awards;</w:t>
      </w:r>
    </w:p>
    <w:p>
      <w:pPr>
        <w:pStyle w:val="Compact"/>
        <w:numPr>
          <w:ilvl w:val="0"/>
          <w:numId w:val="1006"/>
        </w:numPr>
      </w:pPr>
      <w:r>
        <w:t xml:space="preserve">locations and their capacities.</w:t>
      </w:r>
    </w:p>
    <w:p>
      <w:pPr>
        <w:pStyle w:val="FirstParagraph"/>
      </w:pPr>
      <w:r>
        <w:t xml:space="preserve">Queries are defined server-side and use bind variables for request values.</w:t>
      </w:r>
    </w:p>
    <w:bookmarkEnd w:id="16"/>
    <w:bookmarkEnd w:id="17"/>
    <w:bookmarkStart w:id="24" w:name="chapter-iii-web-application"/>
    <w:p>
      <w:pPr>
        <w:pStyle w:val="Heading1"/>
      </w:pPr>
      <w:r>
        <w:t xml:space="preserve">Chapter III — Web application</w:t>
      </w:r>
    </w:p>
    <w:bookmarkStart w:id="18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The application follows a client-server architecture:</w:t>
      </w:r>
    </w:p>
    <w:p>
      <w:pPr>
        <w:pStyle w:val="Compact"/>
        <w:numPr>
          <w:ilvl w:val="0"/>
          <w:numId w:val="1007"/>
        </w:numPr>
      </w:pPr>
      <w:r>
        <w:t xml:space="preserve">the browser loads the static frontend;</w:t>
      </w:r>
    </w:p>
    <w:p>
      <w:pPr>
        <w:pStyle w:val="Compact"/>
        <w:numPr>
          <w:ilvl w:val="0"/>
          <w:numId w:val="1007"/>
        </w:numPr>
      </w:pPr>
      <w:r>
        <w:t xml:space="preserve">the frontend sends HTTP requests to the Express API;</w:t>
      </w:r>
    </w:p>
    <w:p>
      <w:pPr>
        <w:pStyle w:val="Compact"/>
        <w:numPr>
          <w:ilvl w:val="0"/>
          <w:numId w:val="1007"/>
        </w:numPr>
      </w:pPr>
      <w:r>
        <w:t xml:space="preserve">Node.js services execute operations against Oracle;</w:t>
      </w:r>
    </w:p>
    <w:p>
      <w:pPr>
        <w:pStyle w:val="Compact"/>
        <w:numPr>
          <w:ilvl w:val="0"/>
          <w:numId w:val="1007"/>
        </w:numPr>
      </w:pPr>
      <w:r>
        <w:t xml:space="preserve">the API returns standardized JSON responses.</w:t>
      </w:r>
    </w:p>
    <w:p>
      <w:pPr>
        <w:pStyle w:val="FirstParagraph"/>
      </w:pPr>
      <w:r>
        <w:t xml:space="preserve">The main technologies are Node.js, Express, OracleDB, HTML, CSS and Vanilla</w:t>
      </w:r>
      <w:r>
        <w:t xml:space="preserve"> </w:t>
      </w:r>
      <w:r>
        <w:t xml:space="preserve">JavaScript. The application can run locally or through Docker Compose.</w:t>
      </w:r>
    </w:p>
    <w:bookmarkEnd w:id="18"/>
    <w:bookmarkStart w:id="19" w:name="rest-api-and-response-contract"/>
    <w:p>
      <w:pPr>
        <w:pStyle w:val="Heading2"/>
      </w:pPr>
      <w:r>
        <w:t xml:space="preserve">REST API and response contract</w:t>
      </w:r>
    </w:p>
    <w:p>
      <w:pPr>
        <w:pStyle w:val="FirstParagraph"/>
      </w:pPr>
      <w:r>
        <w:t xml:space="preserve">Successful responses use the following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Paginated lists additionally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 use explicit codes and messages: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9"/>
    <w:bookmarkStart w:id="20" w:name="authentication-and-authorization"/>
    <w:p>
      <w:pPr>
        <w:pStyle w:val="Heading2"/>
      </w:pPr>
      <w:r>
        <w:t xml:space="preserve">Authentication and authorization</w:t>
      </w:r>
    </w:p>
    <w:p>
      <w:pPr>
        <w:pStyle w:val="FirstParagraph"/>
      </w:pPr>
      <w:r>
        <w:t xml:space="preserve">Authentication uses JWT, while passwords are hashed with bcrypt. Users can</w:t>
      </w:r>
      <w:r>
        <w:t xml:space="preserve"> </w:t>
      </w:r>
      <w:r>
        <w:t xml:space="preserve">authenticate with either their username or email address.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VIEWER</w:t>
      </w:r>
      <w:r>
        <w:t xml:space="preserve"> </w:t>
      </w:r>
      <w:r>
        <w:t xml:space="preserve">— read-only access;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CURATOR</w:t>
      </w:r>
      <w:r>
        <w:t xml:space="preserve"> </w:t>
      </w:r>
      <w:r>
        <w:t xml:space="preserve">— create, update and upload artwork images;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— all CRUD operations and role management.</w:t>
      </w:r>
    </w:p>
    <w:p>
      <w:pPr>
        <w:pStyle w:val="FirstParagraph"/>
      </w:pPr>
      <w:r>
        <w:t xml:space="preserve">All API routes except the health check and authentication endpoints require a</w:t>
      </w:r>
      <w:r>
        <w:t xml:space="preserve"> </w:t>
      </w:r>
      <w:r>
        <w:t xml:space="preserve">Bearer token. Roles are checked by authorization middleware.</w:t>
      </w:r>
    </w:p>
    <w:bookmarkEnd w:id="20"/>
    <w:bookmarkStart w:id="21" w:name="crud-search-and-pagination"/>
    <w:p>
      <w:pPr>
        <w:pStyle w:val="Heading2"/>
      </w:pPr>
      <w:r>
        <w:t xml:space="preserve">CRUD, search and pagination</w:t>
      </w:r>
    </w:p>
    <w:p>
      <w:pPr>
        <w:pStyle w:val="FirstParagraph"/>
      </w:pPr>
      <w:r>
        <w:t xml:space="preserve">The interface provides CRUD operations for the main entities and operations</w:t>
      </w:r>
      <w:r>
        <w:t xml:space="preserve"> </w:t>
      </w:r>
      <w:r>
        <w:t xml:space="preserve">for junction tables. Lists support:</w:t>
      </w:r>
    </w:p>
    <w:p>
      <w:pPr>
        <w:pStyle w:val="SourceCode"/>
      </w:pPr>
      <w:r>
        <w:rPr>
          <w:rStyle w:val="VerbatimChar"/>
        </w:rPr>
        <w:t xml:space="preserve">page=1&amp;limit=20&amp;search=painting&amp;sortBy=NUME&amp;sortOrder=ASC</w:t>
      </w:r>
    </w:p>
    <w:p>
      <w:pPr>
        <w:pStyle w:val="FirstParagraph"/>
      </w:pPr>
      <w:r>
        <w:t xml:space="preserve">Resource names, column names and sort directions are validated through</w:t>
      </w:r>
      <w:r>
        <w:t xml:space="preserve"> </w:t>
      </w:r>
      <w:r>
        <w:t xml:space="preserve">server-side allowlists. User-provided values are passed through bind</w:t>
      </w:r>
      <w:r>
        <w:t xml:space="preserve"> </w:t>
      </w:r>
      <w:r>
        <w:t xml:space="preserve">variables.</w:t>
      </w:r>
    </w:p>
    <w:bookmarkEnd w:id="21"/>
    <w:bookmarkStart w:id="22" w:name="image-uploads"/>
    <w:p>
      <w:pPr>
        <w:pStyle w:val="Heading2"/>
      </w:pPr>
      <w:r>
        <w:t xml:space="preserve">Image uploads</w:t>
      </w:r>
    </w:p>
    <w:p>
      <w:pPr>
        <w:pStyle w:val="FirstParagraph"/>
      </w:pPr>
      <w:r>
        <w:t xml:space="preserve">Artwork images are uploaded through:</w:t>
      </w:r>
    </w:p>
    <w:p>
      <w:pPr>
        <w:pStyle w:val="SourceCode"/>
      </w:pPr>
      <w:r>
        <w:rPr>
          <w:rStyle w:val="VerbatimChar"/>
        </w:rPr>
        <w:t xml:space="preserve">POST /api/artworks/:id/image</w:t>
      </w:r>
    </w:p>
    <w:p>
      <w:pPr>
        <w:pStyle w:val="FirstParagraph"/>
      </w:pPr>
      <w:r>
        <w:t xml:space="preserve">The upload uses the multipart field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and accepts JPEG, PNG and WebP.</w:t>
      </w:r>
      <w:r>
        <w:t xml:space="preserve"> </w:t>
      </w:r>
      <w:r>
        <w:t xml:space="preserve">The application verifies both the MIME type and binary file signature, limits</w:t>
      </w:r>
      <w:r>
        <w:t xml:space="preserve"> </w:t>
      </w:r>
      <w:r>
        <w:t xml:space="preserve">file size and generates UUID-based filenames. Only the image URL is stored in</w:t>
      </w:r>
      <w:r>
        <w:t xml:space="preserve"> </w:t>
      </w:r>
      <w:r>
        <w:t xml:space="preserve">the database.</w:t>
      </w:r>
    </w:p>
    <w:bookmarkEnd w:id="22"/>
    <w:bookmarkStart w:id="23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The implementation includes:</w:t>
      </w:r>
    </w:p>
    <w:p>
      <w:pPr>
        <w:pStyle w:val="Compact"/>
        <w:numPr>
          <w:ilvl w:val="0"/>
          <w:numId w:val="1009"/>
        </w:numPr>
      </w:pPr>
      <w:r>
        <w:t xml:space="preserve">Helmet and Content Security Policy;</w:t>
      </w:r>
    </w:p>
    <w:p>
      <w:pPr>
        <w:pStyle w:val="Compact"/>
        <w:numPr>
          <w:ilvl w:val="0"/>
          <w:numId w:val="1009"/>
        </w:numPr>
      </w:pPr>
      <w:r>
        <w:t xml:space="preserve">configurable CORS;</w:t>
      </w:r>
    </w:p>
    <w:p>
      <w:pPr>
        <w:pStyle w:val="Compact"/>
        <w:numPr>
          <w:ilvl w:val="0"/>
          <w:numId w:val="1009"/>
        </w:numPr>
      </w:pPr>
      <w:r>
        <w:t xml:space="preserve">rate limiting for authentication;</w:t>
      </w:r>
    </w:p>
    <w:p>
      <w:pPr>
        <w:pStyle w:val="Compact"/>
        <w:numPr>
          <w:ilvl w:val="0"/>
          <w:numId w:val="1009"/>
        </w:numPr>
      </w:pPr>
      <w:r>
        <w:t xml:space="preserve">JWT and bcrypt;</w:t>
      </w:r>
    </w:p>
    <w:p>
      <w:pPr>
        <w:pStyle w:val="Compact"/>
        <w:numPr>
          <w:ilvl w:val="0"/>
          <w:numId w:val="1009"/>
        </w:numPr>
      </w:pPr>
      <w:r>
        <w:t xml:space="preserve">server-side validation;</w:t>
      </w:r>
    </w:p>
    <w:p>
      <w:pPr>
        <w:pStyle w:val="Compact"/>
        <w:numPr>
          <w:ilvl w:val="0"/>
          <w:numId w:val="1009"/>
        </w:numPr>
      </w:pPr>
      <w:r>
        <w:t xml:space="preserve">bind variables;</w:t>
      </w:r>
    </w:p>
    <w:p>
      <w:pPr>
        <w:pStyle w:val="Compact"/>
        <w:numPr>
          <w:ilvl w:val="0"/>
          <w:numId w:val="1009"/>
        </w:numPr>
      </w:pPr>
      <w:r>
        <w:t xml:space="preserve">allowlists for SQL identifiers;</w:t>
      </w:r>
    </w:p>
    <w:p>
      <w:pPr>
        <w:pStyle w:val="Compact"/>
        <w:numPr>
          <w:ilvl w:val="0"/>
          <w:numId w:val="1009"/>
        </w:numPr>
      </w:pPr>
      <w:r>
        <w:t xml:space="preserve">centralized error handling;</w:t>
      </w:r>
    </w:p>
    <w:p>
      <w:pPr>
        <w:pStyle w:val="Compact"/>
        <w:numPr>
          <w:ilvl w:val="0"/>
          <w:numId w:val="1009"/>
        </w:numPr>
      </w:pPr>
      <w:r>
        <w:t xml:space="preserve">role-based route protection;</w:t>
      </w:r>
    </w:p>
    <w:p>
      <w:pPr>
        <w:pStyle w:val="Compact"/>
        <w:numPr>
          <w:ilvl w:val="0"/>
          <w:numId w:val="1009"/>
        </w:numPr>
      </w:pPr>
      <w:r>
        <w:t xml:space="preserve">validation of the actual image file content.</w:t>
      </w:r>
    </w:p>
    <w:bookmarkEnd w:id="23"/>
    <w:bookmarkEnd w:id="24"/>
    <w:bookmarkStart w:id="27" w:name="chapter-iv-testing-and-delivery"/>
    <w:p>
      <w:pPr>
        <w:pStyle w:val="Heading1"/>
      </w:pPr>
      <w:r>
        <w:t xml:space="preserve">Chapter IV — Testing and delivery</w:t>
      </w:r>
    </w:p>
    <w:bookmarkStart w:id="25" w:name="automated-testing"/>
    <w:p>
      <w:pPr>
        <w:pStyle w:val="Heading2"/>
      </w:pPr>
      <w:r>
        <w:t xml:space="preserve">Automated testing</w:t>
      </w:r>
    </w:p>
    <w:p>
      <w:pPr>
        <w:pStyle w:val="FirstParagraph"/>
      </w:pPr>
      <w:r>
        <w:t xml:space="preserve">The project uses Jest and Supertest for:</w:t>
      </w:r>
    </w:p>
    <w:p>
      <w:pPr>
        <w:pStyle w:val="Compact"/>
        <w:numPr>
          <w:ilvl w:val="0"/>
          <w:numId w:val="1010"/>
        </w:numPr>
      </w:pPr>
      <w:r>
        <w:t xml:space="preserve">application smoke tests;</w:t>
      </w:r>
    </w:p>
    <w:p>
      <w:pPr>
        <w:pStyle w:val="Compact"/>
        <w:numPr>
          <w:ilvl w:val="0"/>
          <w:numId w:val="1010"/>
        </w:numPr>
      </w:pPr>
      <w:r>
        <w:t xml:space="preserve">protected API route checks;</w:t>
      </w:r>
    </w:p>
    <w:p>
      <w:pPr>
        <w:pStyle w:val="Compact"/>
        <w:numPr>
          <w:ilvl w:val="0"/>
          <w:numId w:val="1010"/>
        </w:numPr>
      </w:pPr>
      <w:r>
        <w:t xml:space="preserve">authentication helpers;</w:t>
      </w:r>
    </w:p>
    <w:p>
      <w:pPr>
        <w:pStyle w:val="Compact"/>
        <w:numPr>
          <w:ilvl w:val="0"/>
          <w:numId w:val="1010"/>
        </w:numPr>
      </w:pPr>
      <w:r>
        <w:t xml:space="preserve">request validation;</w:t>
      </w:r>
    </w:p>
    <w:p>
      <w:pPr>
        <w:pStyle w:val="Compact"/>
        <w:numPr>
          <w:ilvl w:val="0"/>
          <w:numId w:val="1010"/>
        </w:numPr>
      </w:pPr>
      <w:r>
        <w:t xml:space="preserve">frontend utility functions;</w:t>
      </w:r>
    </w:p>
    <w:p>
      <w:pPr>
        <w:pStyle w:val="Compact"/>
        <w:numPr>
          <w:ilvl w:val="0"/>
          <w:numId w:val="1010"/>
        </w:numPr>
      </w:pPr>
      <w:r>
        <w:t xml:space="preserve">Oracle pool tests when database variables are available.</w:t>
      </w:r>
    </w:p>
    <w:p>
      <w:pPr>
        <w:pStyle w:val="FirstParagraph"/>
      </w:pPr>
      <w:r>
        <w:t xml:space="preserve">Validation commands: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format:check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</w:p>
    <w:p>
      <w:pPr>
        <w:pStyle w:val="FirstParagraph"/>
      </w:pPr>
      <w:r>
        <w:t xml:space="preserve">Oracle integration tests are skipped automatically when the database is not</w:t>
      </w:r>
      <w:r>
        <w:t xml:space="preserve"> </w:t>
      </w:r>
      <w:r>
        <w:t xml:space="preserve">configured.</w:t>
      </w:r>
    </w:p>
    <w:bookmarkEnd w:id="25"/>
    <w:bookmarkStart w:id="26" w:name="docker-and-cicd"/>
    <w:p>
      <w:pPr>
        <w:pStyle w:val="Heading2"/>
      </w:pPr>
      <w:r>
        <w:t xml:space="preserve">Docker and CI/CD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builds the Node.js application image.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starts the application and Oracle XE, with persistent volumes for database</w:t>
      </w:r>
      <w:r>
        <w:t xml:space="preserve"> </w:t>
      </w:r>
      <w:r>
        <w:t xml:space="preserve">data and uploaded images.</w:t>
      </w:r>
    </w:p>
    <w:p>
      <w:pPr>
        <w:pStyle w:val="BodyText"/>
      </w:pPr>
      <w:r>
        <w:t xml:space="preserve">The GitHub Actions workflow runs:</w:t>
      </w:r>
    </w:p>
    <w:p>
      <w:pPr>
        <w:pStyle w:val="Compact"/>
        <w:numPr>
          <w:ilvl w:val="0"/>
          <w:numId w:val="1011"/>
        </w:numPr>
      </w:pPr>
      <w:r>
        <w:t xml:space="preserve">reproducible installation through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formatting checks;</w:t>
      </w:r>
    </w:p>
    <w:p>
      <w:pPr>
        <w:pStyle w:val="Compact"/>
        <w:numPr>
          <w:ilvl w:val="0"/>
          <w:numId w:val="1011"/>
        </w:numPr>
      </w:pPr>
      <w:r>
        <w:t xml:space="preserve">ESLint;</w:t>
      </w:r>
    </w:p>
    <w:p>
      <w:pPr>
        <w:pStyle w:val="Compact"/>
        <w:numPr>
          <w:ilvl w:val="0"/>
          <w:numId w:val="1011"/>
        </w:numPr>
      </w:pPr>
      <w:r>
        <w:t xml:space="preserve">Jest tests and coverage.</w:t>
      </w:r>
    </w:p>
    <w:p>
      <w:pPr>
        <w:pStyle w:val="FirstParagraph"/>
      </w:pPr>
      <w:r>
        <w:t xml:space="preserve">Dependabot is configured to update npm dependencies and GitHub Actions.</w:t>
      </w:r>
    </w:p>
    <w:bookmarkEnd w:id="26"/>
    <w:bookmarkEnd w:id="27"/>
    <w:bookmarkStart w:id="28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The project has evolved from a static interface into a full-stack application</w:t>
      </w:r>
      <w:r>
        <w:t xml:space="preserve"> </w:t>
      </w:r>
      <w:r>
        <w:t xml:space="preserve">with an Oracle database, REST API, authentication, authorization, image</w:t>
      </w:r>
      <w:r>
        <w:t xml:space="preserve"> </w:t>
      </w:r>
      <w:r>
        <w:t xml:space="preserve">uploads, reports, automated tests and containerized delivery.</w:t>
      </w:r>
    </w:p>
    <w:p>
      <w:pPr>
        <w:pStyle w:val="BodyText"/>
      </w:pPr>
      <w:r>
        <w:t xml:space="preserve">Complete Oracle behavior must be verified against a configured Oracle</w:t>
      </w:r>
      <w:r>
        <w:t xml:space="preserve"> </w:t>
      </w:r>
      <w:r>
        <w:t xml:space="preserve">instance. Dashboard and report values must not be invented before the seed</w:t>
      </w:r>
      <w:r>
        <w:t xml:space="preserve"> </w:t>
      </w:r>
      <w:r>
        <w:t xml:space="preserve">data and integration tests have been executed.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 Gallery Management System</dc:title>
  <dc:creator>Georgiana Valentina Spătaru — Group 263 CTI</dc:creator>
  <dc:language>en</dc:language>
  <cp:keywords/>
  <dcterms:created xsi:type="dcterms:W3CDTF">2026-10-13T16:17:45Z</dcterms:created>
  <dcterms:modified xsi:type="dcterms:W3CDTF">2026-10-13T16:17:45Z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</Properties>
</file>