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Roboto" w:cs="Roboto" w:eastAsia="Roboto" w:hAnsi="Roboto"/>
          <w:b/>
          <w:bCs/>
          <w:sz w:val="34"/>
          <w:szCs w:val="34"/>
        </w:rPr>
        <w:t xml:space="preserve">Specific assessment for significant risk / complex case categories</w:t>
      </w:r>
    </w:p>
    <w:p>
      <w:pPr>
        <w:spacing w:after="120"/>
      </w:pPr>
      <w:r>
        <w:rPr>
          <w:rFonts w:ascii="Roboto" w:cs="Roboto" w:eastAsia="Roboto" w:hAnsi="Roboto"/>
          <w:b/>
          <w:bCs/>
          <w:sz w:val="20"/>
          <w:szCs w:val="20"/>
        </w:rPr>
        <w:t xml:space="preserve">Scope: </w:t>
      </w:r>
      <w:r>
        <w:rPr>
          <w:rFonts w:ascii="Roboto" w:cs="Roboto" w:eastAsia="Roboto" w:hAnsi="Roboto"/>
          <w:sz w:val="20"/>
          <w:szCs w:val="20"/>
        </w:rPr>
        <w:t xml:space="preserve">The qualifying criteria for designating an investigation as complex (Section 4, Key Risk Factors &amp; Qualifying Criteria). Each category is mapped against the TM rules with status "Active" on the AML TM, SSOT Rules Inventory. Deactivated and Pending rules are outside this assessment. Not every category has a rule.</w:t>
      </w:r>
    </w:p>
    <w:p>
      <w:pPr>
        <w:pStyle w:val="Heading2"/>
        <w:spacing w:after="120" w:before="360"/>
      </w:pPr>
      <w:r>
        <w:rPr>
          <w:rFonts w:ascii="Roboto" w:cs="Roboto" w:eastAsia="Roboto" w:hAnsi="Roboto"/>
          <w:b/>
          <w:bCs/>
          <w:color w:val="000000"/>
          <w:sz w:val="30"/>
          <w:szCs w:val="30"/>
        </w:rPr>
        <w:t xml:space="preserve">1. Employee-Related Investigations</w:t>
      </w:r>
    </w:p>
    <w:p>
      <w:pPr>
        <w:spacing w:after="120"/>
      </w:pPr>
      <w:r>
        <w:rPr>
          <w:rFonts w:ascii="Roboto" w:cs="Roboto" w:eastAsia="Roboto" w:hAnsi="Roboto"/>
          <w:b/>
          <w:bCs/>
          <w:sz w:val="20"/>
          <w:szCs w:val="20"/>
        </w:rPr>
        <w:t xml:space="preserve">Current rules: </w:t>
      </w:r>
      <w:r>
        <w:rPr>
          <w:rFonts w:ascii="Roboto" w:cs="Roboto" w:eastAsia="Roboto" w:hAnsi="Roboto"/>
          <w:sz w:val="20"/>
          <w:szCs w:val="20"/>
        </w:rPr>
        <w:t xml:space="preserve">None. </w:t>
      </w:r>
      <w:r>
        <w:rPr>
          <w:rFonts w:ascii="Roboto" w:cs="Roboto" w:eastAsia="Roboto" w:hAnsi="Roboto"/>
          <w:sz w:val="20"/>
          <w:szCs w:val="20"/>
        </w:rPr>
        <w:t xml:space="preserve">Employee-related investigations are confidential, so they are not handled through TM or Screening. No TM rule is expected for this category.</w:t>
      </w:r>
    </w:p>
    <w:p>
      <w:pPr>
        <w:pStyle w:val="Heading2"/>
        <w:spacing w:after="120" w:before="360"/>
      </w:pPr>
      <w:r>
        <w:rPr>
          <w:rFonts w:ascii="Roboto" w:cs="Roboto" w:eastAsia="Roboto" w:hAnsi="Roboto"/>
          <w:b/>
          <w:bCs/>
          <w:color w:val="000000"/>
          <w:sz w:val="30"/>
          <w:szCs w:val="30"/>
        </w:rPr>
        <w:t xml:space="preserve">2. Multiple Customers &amp; Entities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2600"/>
        <w:gridCol w:w="2800"/>
      </w:tblGrid>
      <w:tr>
        <w:trPr>
          <w:tblHeader/>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Current rule</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Bad behaviour it can flag</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Financial crime risk addressed</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NB</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Hidden relationships via clustered card fingerprints (Card Acquiring)</w:t>
            </w:r>
          </w:p>
          <w:p>
            <w:pPr>
              <w:spacing w:after="0"/>
            </w:pPr>
            <w:r>
              <w:rPr>
                <w:rFonts w:ascii="Roboto" w:cs="Roboto" w:eastAsia="Roboto" w:hAnsi="Roboto"/>
                <w:i/>
                <w:iCs/>
                <w:sz w:val="16"/>
                <w:szCs w:val="16"/>
              </w:rPr>
              <w:t xml:space="preserve">ACQ-ENT-MCC6012-6051-6211-7995-MT-HiddenRelationshipStructuring_v1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Several distinct card fingerprints (4 or more) paying into the same recipient account, where those clusters are material to the merchant’s 30-day pay-in count or volume.</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Hidden links between apparently unrelated end users, mule networks, structuring and layering of funds.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Only covers MCCs 6012, 6051, 6211 and 7995. End users are linked only by a shared recipient account. Device ID, IP address, email domain and telephone number are not used.</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One card linked to multiple recipient names for gambling (PayToCard)</w:t>
            </w:r>
          </w:p>
          <w:p>
            <w:pPr>
              <w:spacing w:after="0"/>
            </w:pPr>
            <w:r>
              <w:rPr>
                <w:rFonts w:ascii="Roboto" w:cs="Roboto" w:eastAsia="Roboto" w:hAnsi="Roboto"/>
                <w:i/>
                <w:iCs/>
                <w:sz w:val="16"/>
                <w:szCs w:val="16"/>
              </w:rPr>
              <w:t xml:space="preserve">PTC-FGP-MCC7995-ALL-ST&amp;MT-AmountAboveAndRecipientNamesAbove_v1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One card used to pay more than 3 distinct recipient names, with gambling payments over $2,000.</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Card sharing, third-party or mule use of a card, and concealment of the true beneficiary.</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Gambling and PayToCard only. Looks at one card at a time, not at shared attributes across different customers.</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Dominant card fingerprint at a crypto AFT merchant (Card Acquiring)</w:t>
            </w:r>
          </w:p>
          <w:p>
            <w:pPr>
              <w:spacing w:after="0"/>
            </w:pPr>
            <w:r>
              <w:rPr>
                <w:rFonts w:ascii="Roboto" w:cs="Roboto" w:eastAsia="Roboto" w:hAnsi="Roboto"/>
                <w:i/>
                <w:iCs/>
                <w:sz w:val="16"/>
                <w:szCs w:val="16"/>
              </w:rPr>
              <w:t xml:space="preserve">ACQ-ENT-MCC6051-AFT-ALL-MT-IllicitNexus_v1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 single card fingerprint making up 30% or more of a crypto (MCC 6051) merchant’s daily AFT volume on repeated days, combined with a high dispute rate or a new account.</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 merchant being used as a conduit for a single party, and an illicit nexus between the card holder and the merchant.</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Looks within one merchant only. It will not identify the same fingerprint crossing multiple merchant profiles.</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Vendor concentration (Issuing)</w:t>
            </w:r>
          </w:p>
          <w:p>
            <w:pPr>
              <w:spacing w:after="0"/>
            </w:pPr>
            <w:r>
              <w:rPr>
                <w:rFonts w:ascii="Roboto" w:cs="Roboto" w:eastAsia="Roboto" w:hAnsi="Roboto"/>
                <w:i/>
                <w:iCs/>
                <w:sz w:val="16"/>
                <w:szCs w:val="16"/>
              </w:rPr>
              <w:t xml:space="preserve">ISS-ENT-SPEND-DirectIssuingAndIaasRegulated-MT-Top5MerchantShareAbove_v1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Spend from a programme concentrated with one or a small number of merchants.</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Collusion between cardholders and merchants, shell-vendor activity and potential mule activity.</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Indirect link only. It does not identify shared attributes between end users.</w:t>
            </w:r>
          </w:p>
        </w:tc>
      </w:tr>
    </w:tbl>
    <w:p>
      <w:pPr>
        <w:pStyle w:val="Heading2"/>
        <w:spacing w:after="120" w:before="360"/>
      </w:pPr>
      <w:r>
        <w:rPr>
          <w:rFonts w:ascii="Roboto" w:cs="Roboto" w:eastAsia="Roboto" w:hAnsi="Roboto"/>
          <w:b/>
          <w:bCs/>
          <w:color w:val="000000"/>
          <w:sz w:val="30"/>
          <w:szCs w:val="30"/>
        </w:rPr>
        <w:t xml:space="preserve">3. Multiple Jurisdictions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2600"/>
        <w:gridCol w:w="2800"/>
      </w:tblGrid>
      <w:tr>
        <w:trPr>
          <w:tblHeader/>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Current rule</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Bad behaviour it can flag</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Financial crime risk addressed</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NB</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Recipient in an Unacceptable Jurisdiction (PayToCard)</w:t>
            </w:r>
          </w:p>
          <w:p>
            <w:pPr>
              <w:spacing w:after="0"/>
            </w:pPr>
            <w:r>
              <w:rPr>
                <w:rFonts w:ascii="Roboto" w:cs="Roboto" w:eastAsia="Roboto" w:hAnsi="Roboto"/>
                <w:i/>
                <w:iCs/>
                <w:sz w:val="16"/>
                <w:szCs w:val="16"/>
              </w:rPr>
              <w:t xml:space="preserve">Rule #11: RestrictedCountry</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Any payout to a recipient country on the "Unacceptable Jurisdiction" list.</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Sanctions evasion, terrorist financing and exposure to prohibited jurisdictions.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Zero-tolerance rule, in line with the requirement to refer restricted-jurisdiction activity to the FIU.</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Payouts to restricted or high-risk countries (PayToBank)</w:t>
            </w:r>
          </w:p>
          <w:p>
            <w:pPr>
              <w:spacing w:after="0"/>
            </w:pPr>
            <w:r>
              <w:rPr>
                <w:rFonts w:ascii="Roboto" w:cs="Roboto" w:eastAsia="Roboto" w:hAnsi="Roboto"/>
                <w:i/>
                <w:iCs/>
                <w:sz w:val="16"/>
                <w:szCs w:val="16"/>
              </w:rPr>
              <w:t xml:space="preserve">PTB-ENT-ALL-ALL-MT-HRCVolumeAbove_v1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Any 30-day payout volume to Restricted/Unacceptable recipient bank countries (over $0), or $1,000 or more to High-risk countries.</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Sanctions evasion, terrorist financing and money laundering through high-risk geographies.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Zero-tolerance for Restricted/Unacceptable countries.</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Recipient country is high risk or restricted (Unreferenced Refunds)</w:t>
            </w:r>
          </w:p>
          <w:p>
            <w:pPr>
              <w:spacing w:after="0"/>
            </w:pPr>
            <w:r>
              <w:rPr>
                <w:rFonts w:ascii="Roboto" w:cs="Roboto" w:eastAsia="Roboto" w:hAnsi="Roboto"/>
                <w:i/>
                <w:iCs/>
                <w:sz w:val="16"/>
                <w:szCs w:val="16"/>
              </w:rPr>
              <w:t xml:space="preserve">[UR] Recipient Country is High Risk / Restricted (ur_single_002)</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 refund sent to a high-risk or restricted country.</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Movement of funds to high-risk or sanctioned jurisdictions through refunds.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High-value payouts to high-risk countries (PayToCard)</w:t>
            </w:r>
          </w:p>
          <w:p>
            <w:pPr>
              <w:spacing w:after="0"/>
            </w:pPr>
            <w:r>
              <w:rPr>
                <w:rFonts w:ascii="Roboto" w:cs="Roboto" w:eastAsia="Roboto" w:hAnsi="Roboto"/>
                <w:i/>
                <w:iCs/>
                <w:sz w:val="16"/>
                <w:szCs w:val="16"/>
              </w:rPr>
              <w:t xml:space="preserve">PTC-ENT-ALL-ALL-MT-HRCShareAbove_v1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Single payouts of $5,000 or more to high-risk destination countries making up 5% or more of the 30-day payout volume.</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Possible movement or layering of illicit funds through high-value transactions to high-risk geographies.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High-risk country concentration (Card Acquiring, by merchant size)</w:t>
            </w:r>
          </w:p>
          <w:p>
            <w:pPr>
              <w:spacing w:after="0"/>
            </w:pPr>
            <w:r>
              <w:rPr>
                <w:rFonts w:ascii="Roboto" w:cs="Roboto" w:eastAsia="Roboto" w:hAnsi="Roboto"/>
                <w:i/>
                <w:iCs/>
                <w:sz w:val="16"/>
                <w:szCs w:val="16"/>
              </w:rPr>
              <w:t xml:space="preserve">ACQ-ENT-ALL-LARGE / MEDIUM / SMALL-MT-HRCShareAbove_v1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 high proportion of 30-day volume from cards issued in high-risk, restricted or unacceptable countries (over 25% / 50% / 90%).</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Potential money laundering, terrorist financing or sanctions-evasion exposure through high-risk geographies.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Share-based, so restricted-country activity below the threshold will not alert. Based on card issuing country, not on where the traffic originates (e.g. IP).</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High-risk country concentration for high-risk MCCs (Card Acquiring, by merchant size)</w:t>
            </w:r>
          </w:p>
          <w:p>
            <w:pPr>
              <w:spacing w:after="0"/>
            </w:pPr>
            <w:r>
              <w:rPr>
                <w:rFonts w:ascii="Roboto" w:cs="Roboto" w:eastAsia="Roboto" w:hAnsi="Roboto"/>
                <w:i/>
                <w:iCs/>
                <w:sz w:val="16"/>
                <w:szCs w:val="16"/>
              </w:rPr>
              <w:t xml:space="preserve">ACQ-ENT-MCCHIGHRISK-LARGE (v2) / MEDIUM / SMALL-MT-HRCShareAbove</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High-risk MCC merchants with a high proportion of 30-day volume from high-risk countries (over 2% to 2.5% / 4% / 20%).</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Money laundering through higher-risk businesses linked to high-risk geographies.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Same limits as above: share-based and issuing-country only.</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High-risk country concentration and value (Issuing)</w:t>
            </w:r>
          </w:p>
          <w:p>
            <w:pPr>
              <w:spacing w:after="0"/>
            </w:pPr>
            <w:r>
              <w:rPr>
                <w:rFonts w:ascii="Roboto" w:cs="Roboto" w:eastAsia="Roboto" w:hAnsi="Roboto"/>
                <w:i/>
                <w:iCs/>
                <w:sz w:val="16"/>
                <w:szCs w:val="16"/>
              </w:rPr>
              <w:t xml:space="preserve">ISS-ENT-SPEND-…-HighRiskCountryShareAbove_v1 and …-HighRiskCountryHighTxnAbove_v1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Concentrated or high-value spending in high-risk or sanctioned countries.</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Sanctions evasion, terrorist financing and money laundering involving high-risk jurisdictions.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Percentile-based, with a minimum 30-day volume of $1,000. A single restricted-country transaction may not alert.</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Cash-out outliers (Issuing)</w:t>
            </w:r>
          </w:p>
          <w:p>
            <w:pPr>
              <w:spacing w:after="0"/>
            </w:pPr>
            <w:r>
              <w:rPr>
                <w:rFonts w:ascii="Roboto" w:cs="Roboto" w:eastAsia="Roboto" w:hAnsi="Roboto"/>
                <w:i/>
                <w:iCs/>
                <w:sz w:val="16"/>
                <w:szCs w:val="16"/>
              </w:rPr>
              <w:t xml:space="preserve">ISS-ENT-WITHDRAWAL-DirectIssuingAndIaasRegulated-MT-CountAndAmountAbove_v1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Unusually high withdrawal value and count, with a lower threshold when withdrawals involve high-risk countries.</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Cashing out and movement of illicit funds into cash in high-risk jurisdictions.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Partial link only: the country is used to tighten the threshold, not as a trigger on its own.</w:t>
            </w:r>
          </w:p>
        </w:tc>
      </w:tr>
    </w:tbl>
    <w:p>
      <w:pPr>
        <w:pStyle w:val="Heading2"/>
        <w:spacing w:after="120" w:before="360"/>
      </w:pPr>
      <w:r>
        <w:rPr>
          <w:rFonts w:ascii="Roboto" w:cs="Roboto" w:eastAsia="Roboto" w:hAnsi="Roboto"/>
          <w:b/>
          <w:bCs/>
          <w:color w:val="000000"/>
          <w:sz w:val="30"/>
          <w:szCs w:val="30"/>
        </w:rPr>
        <w:t xml:space="preserve">4. Multiple Transactions &amp; Business Discrepancies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2600"/>
        <w:gridCol w:w="2800"/>
      </w:tblGrid>
      <w:tr>
        <w:trPr>
          <w:tblHeader/>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Current rule</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Bad behaviour it can flag</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Financial crime risk addressed</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NB</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Average ticket outlier vs industry peers (APM)</w:t>
            </w:r>
          </w:p>
          <w:p>
            <w:pPr>
              <w:spacing w:after="0"/>
            </w:pPr>
            <w:r>
              <w:rPr>
                <w:rFonts w:ascii="Roboto" w:cs="Roboto" w:eastAsia="Roboto" w:hAnsi="Roboto"/>
                <w:i/>
                <w:iCs/>
                <w:sz w:val="16"/>
                <w:szCs w:val="16"/>
              </w:rPr>
              <w:t xml:space="preserve">APM-ENT-ALL-ALL-MT-AOVOutlier_v1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An average transaction value far above peers in the same industry.</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Price or invoice manipulation, and products or services that differ from the declared business.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APM only. The closest rule to comparing a merchant against its declared industry.</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Direct debit share outlier vs industry peers (APM)</w:t>
            </w:r>
          </w:p>
          <w:p>
            <w:pPr>
              <w:spacing w:after="0"/>
            </w:pPr>
            <w:r>
              <w:rPr>
                <w:rFonts w:ascii="Roboto" w:cs="Roboto" w:eastAsia="Roboto" w:hAnsi="Roboto"/>
                <w:i/>
                <w:iCs/>
                <w:sz w:val="16"/>
                <w:szCs w:val="16"/>
              </w:rPr>
              <w:t xml:space="preserve">APM-ENT-ALL-ALL-MT-ACHDDShareOutlierAndMaterial_v1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An unusually high share of volume on direct debit rails compared with peers in the same industry and legal entity.</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Bust-out risk and a processing pattern that does not fit the business model.</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APM only.</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Charity volume and prepaid card use (Card Acquiring)</w:t>
            </w:r>
          </w:p>
          <w:p>
            <w:pPr>
              <w:spacing w:after="0"/>
            </w:pPr>
            <w:r>
              <w:rPr>
                <w:rFonts w:ascii="Roboto" w:cs="Roboto" w:eastAsia="Roboto" w:hAnsi="Roboto"/>
                <w:i/>
                <w:iCs/>
                <w:sz w:val="16"/>
                <w:szCs w:val="16"/>
              </w:rPr>
              <w:t xml:space="preserve">ACQ-ENT-MCC8398-ALL-MT-AmountAbove_v1 and ACQ-ENT-MCC8398-LARGE / MEDIUM / SMALL-MT-PrepaidShareAbove_v1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Charity volume over $600,000 in 30 days, or a high share of payments from prepaid cards.</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Misuse of non-profit organisations for terrorist financing or money laundering.</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Only applies to merchants classified under MCC 8398.</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High-risk MCC concentration (Issuing)</w:t>
            </w:r>
          </w:p>
          <w:p>
            <w:pPr>
              <w:spacing w:after="0"/>
            </w:pPr>
            <w:r>
              <w:rPr>
                <w:rFonts w:ascii="Roboto" w:cs="Roboto" w:eastAsia="Roboto" w:hAnsi="Roboto"/>
                <w:i/>
                <w:iCs/>
                <w:sz w:val="16"/>
                <w:szCs w:val="16"/>
              </w:rPr>
              <w:t xml:space="preserve">ISS-ENT-SPEND-DirectIssuingAndIaasRegulated-MT-HighRiskMCCShareAbove_v1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 high proportion of programme spend in MCCs configured as high risk.</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 programme being used for purposes other than those declared, and asset conversion.</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It will not catch the risk if the relevant MCC is not configured as high risk.</w:t>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Early-life inflow surge with payout (APM)</w:t>
            </w:r>
          </w:p>
          <w:p>
            <w:pPr>
              <w:spacing w:after="0"/>
            </w:pPr>
            <w:r>
              <w:rPr>
                <w:rFonts w:ascii="Roboto" w:cs="Roboto" w:eastAsia="Roboto" w:hAnsi="Roboto"/>
                <w:i/>
                <w:iCs/>
                <w:sz w:val="16"/>
                <w:szCs w:val="16"/>
              </w:rPr>
              <w:t xml:space="preserve">APM-ENT-ALL-ALL-MT-Win7dInflowHighAndPayout_v1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Unusually high inflows in the first 7 days of activity (or after dormancy), with payouts in the same window.</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Bust-out, and merchants set up as a conduit rather than for a genuine business.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Issuance velocity (Issuing)</w:t>
            </w:r>
          </w:p>
          <w:p>
            <w:pPr>
              <w:spacing w:after="0"/>
            </w:pPr>
            <w:r>
              <w:rPr>
                <w:rFonts w:ascii="Roboto" w:cs="Roboto" w:eastAsia="Roboto" w:hAnsi="Roboto"/>
                <w:i/>
                <w:iCs/>
                <w:sz w:val="16"/>
                <w:szCs w:val="16"/>
              </w:rPr>
              <w:t xml:space="preserve">ISS-ENT-SPEND-DirectIssuingAndIaasRegulated-MT-First7dCardVelocityAbove_v1</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 new programme issuing an unusually large number of cards shortly after launch.</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Shell programmes, synthetic identities, ghost employees and mule herding.</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
            </w:r>
          </w:p>
        </w:tc>
      </w:tr>
      <w:tr>
        <w:trPr>
          <w:cantSplit/>
        </w:trPr>
        <w:tc>
          <w:tcPr>
            <w:tcW w:type="dxa" w:w="29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80"/>
            </w:pPr>
            <w:r>
              <w:rPr>
                <w:rFonts w:ascii="Roboto" w:cs="Roboto" w:eastAsia="Roboto" w:hAnsi="Roboto"/>
                <w:sz w:val="20"/>
                <w:szCs w:val="20"/>
              </w:rPr>
              <w:t xml:space="preserve">Sudden change in behaviour (PayToCard)</w:t>
            </w:r>
          </w:p>
          <w:p>
            <w:pPr>
              <w:spacing w:after="0"/>
            </w:pPr>
            <w:r>
              <w:rPr>
                <w:rFonts w:ascii="Roboto" w:cs="Roboto" w:eastAsia="Roboto" w:hAnsi="Roboto"/>
                <w:i/>
                <w:iCs/>
                <w:sz w:val="16"/>
                <w:szCs w:val="16"/>
              </w:rPr>
              <w:t xml:space="preserve">Rules #1 to #4 (currentWeekCrypto…, currentMonthHighVolumeAmount, currentWeekHighVolumeAmount, currentWeekHighTransactionAmount)</w:t>
            </w:r>
          </w:p>
        </w:tc>
        <w:tc>
          <w:tcPr>
            <w:tcW w:type="dxa" w:w="25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Sudden spikes in weekly or monthly value or count compared with history.</w:t>
            </w:r>
          </w:p>
        </w:tc>
        <w:tc>
          <w:tcPr>
            <w:tcW w:type="dxa" w:w="26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Unexpected activity and possible layering of funds.</w:t>
            </w:r>
          </w:p>
        </w:tc>
        <w:tc>
          <w:tcPr>
            <w:tcW w:type="dxa" w:w="28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Compares against the customer’s own history, not against the declared business model.</w:t>
            </w:r>
          </w:p>
        </w:tc>
      </w:tr>
    </w:tbl>
    <w:p>
      <w:pPr>
        <w:pStyle w:val="Heading2"/>
        <w:spacing w:after="120" w:before="360"/>
      </w:pPr>
      <w:r>
        <w:rPr>
          <w:rFonts w:ascii="Roboto" w:cs="Roboto" w:eastAsia="Roboto" w:hAnsi="Roboto"/>
          <w:b/>
          <w:bCs/>
          <w:color w:val="000000"/>
          <w:sz w:val="30"/>
          <w:szCs w:val="30"/>
        </w:rPr>
        <w:t xml:space="preserve">5. Multiple Subpoena / Law Enforcement Requests</w:t>
      </w:r>
    </w:p>
    <w:p>
      <w:pPr>
        <w:spacing w:after="120"/>
      </w:pPr>
      <w:r>
        <w:rPr>
          <w:rFonts w:ascii="Roboto" w:cs="Roboto" w:eastAsia="Roboto" w:hAnsi="Roboto"/>
          <w:b/>
          <w:bCs/>
          <w:sz w:val="20"/>
          <w:szCs w:val="20"/>
        </w:rPr>
        <w:t xml:space="preserve">Current rules: </w:t>
      </w:r>
      <w:r>
        <w:rPr>
          <w:rFonts w:ascii="Roboto" w:cs="Roboto" w:eastAsia="Roboto" w:hAnsi="Roboto"/>
          <w:sz w:val="20"/>
          <w:szCs w:val="20"/>
        </w:rPr>
        <w:t xml:space="preserve">None. </w:t>
      </w:r>
      <w:r>
        <w:rPr>
          <w:rFonts w:ascii="Roboto" w:cs="Roboto" w:eastAsia="Roboto" w:hAnsi="Roboto"/>
          <w:sz w:val="20"/>
          <w:szCs w:val="20"/>
        </w:rPr>
        <w:t xml:space="preserve">A first level of review is carried out by the Merchant Review Team before findings are shared with the FIU and UAE MLRO. This is outside the scope of the TM monitoring workflow on Salesforce.</w:t>
      </w:r>
    </w:p>
    <w:p>
      <w:pPr>
        <w:pStyle w:val="Heading2"/>
        <w:spacing w:after="120" w:before="360"/>
      </w:pPr>
      <w:r>
        <w:rPr>
          <w:rFonts w:ascii="Roboto" w:cs="Roboto" w:eastAsia="Roboto" w:hAnsi="Roboto"/>
          <w:b/>
          <w:bCs/>
          <w:color w:val="000000"/>
          <w:sz w:val="30"/>
          <w:szCs w:val="30"/>
        </w:rPr>
        <w:t xml:space="preserve">6. Legal Referred Investigations</w:t>
      </w:r>
    </w:p>
    <w:p>
      <w:pPr>
        <w:spacing w:after="120"/>
      </w:pPr>
      <w:r>
        <w:rPr>
          <w:rFonts w:ascii="Roboto" w:cs="Roboto" w:eastAsia="Roboto" w:hAnsi="Roboto"/>
          <w:b/>
          <w:bCs/>
          <w:sz w:val="20"/>
          <w:szCs w:val="20"/>
        </w:rPr>
        <w:t xml:space="preserve">Current rules: </w:t>
      </w:r>
      <w:r>
        <w:rPr>
          <w:rFonts w:ascii="Roboto" w:cs="Roboto" w:eastAsia="Roboto" w:hAnsi="Roboto"/>
          <w:sz w:val="20"/>
          <w:szCs w:val="20"/>
        </w:rPr>
        <w:t xml:space="preserve">None. </w:t>
      </w:r>
      <w:r>
        <w:rPr>
          <w:rFonts w:ascii="Roboto" w:cs="Roboto" w:eastAsia="Roboto" w:hAnsi="Roboto"/>
          <w:sz w:val="20"/>
          <w:szCs w:val="20"/>
        </w:rPr>
        <w:t xml:space="preserve">These are reviewed by the 1LOD merchant screening team and escalated to the FIU and UAE MLRO. This is outside the scope of the TM monitoring workflow on Salesforce.</w:t>
      </w:r>
    </w:p>
    <w:p>
      <w:pPr>
        <w:pStyle w:val="Heading2"/>
        <w:spacing w:after="120" w:before="360"/>
      </w:pPr>
      <w:r>
        <w:rPr>
          <w:rFonts w:ascii="Roboto" w:cs="Roboto" w:eastAsia="Roboto" w:hAnsi="Roboto"/>
          <w:b/>
          <w:bCs/>
          <w:color w:val="000000"/>
          <w:sz w:val="30"/>
          <w:szCs w:val="30"/>
        </w:rPr>
        <w:t xml:space="preserve">Specific complex-case risks not reliably caught by the current rules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4050"/>
        <w:gridCol w:w="4050"/>
      </w:tblGrid>
      <w:tr>
        <w:trPr>
          <w:tblHeader/>
        </w:trPr>
        <w:tc>
          <w:tcPr>
            <w:tcW w:type="dxa" w:w="270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Risk</w:t>
            </w:r>
          </w:p>
        </w:tc>
        <w:tc>
          <w:tcPr>
            <w:tcW w:type="dxa" w:w="40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Why current TM may miss it</w:t>
            </w:r>
          </w:p>
        </w:tc>
        <w:tc>
          <w:tcPr>
            <w:tcW w:type="dxa" w:w="4050"/>
            <w:tcBorders>
              <w:top w:val="single" w:color="000000" w:sz="4"/>
              <w:left w:val="single" w:color="000000" w:sz="4"/>
              <w:bottom w:val="single" w:color="000000" w:sz="4"/>
              <w:right w:val="single" w:color="000000" w:sz="4"/>
            </w:tcBorders>
            <w:tcMar>
              <w:top w:type="dxa" w:w="100"/>
              <w:left w:type="dxa" w:w="120"/>
              <w:bottom w:type="dxa" w:w="100"/>
              <w:right w:type="dxa" w:w="120"/>
            </w:tcMar>
            <w:vAlign w:val="center"/>
          </w:tcPr>
          <w:p>
            <w:pPr>
              <w:spacing w:after="0"/>
              <w:jc w:val="center"/>
            </w:pPr>
            <w:r>
              <w:rPr>
                <w:rFonts w:ascii="Roboto" w:cs="Roboto" w:eastAsia="Roboto" w:hAnsi="Roboto"/>
                <w:b/>
                <w:bCs/>
                <w:sz w:val="20"/>
                <w:szCs w:val="20"/>
              </w:rPr>
              <w:t xml:space="preserve">Possible mitigants</w:t>
            </w:r>
          </w:p>
        </w:tc>
      </w:tr>
      <w:tr>
        <w:trPr>
          <w:cantSplit/>
        </w:trPr>
        <w:tc>
          <w:tcPr>
            <w:tcW w:type="dxa" w:w="27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bCs/>
                <w:sz w:val="20"/>
                <w:szCs w:val="20"/>
              </w:rPr>
              <w:t xml:space="preserve">Unrelated end users sharing identifiers</w:t>
            </w:r>
          </w:p>
        </w:tc>
        <w:tc>
          <w:tcPr>
            <w:tcW w:type="dxa" w:w="405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No active rule links end users by device ID, IP address, email domain or telephone number. The only shared-attribute rule uses a shared recipient account, and only for MCCs 6012, 6051, 6211 and 7995.</w:t>
            </w:r>
          </w:p>
        </w:tc>
        <w:tc>
          <w:tcPr>
            <w:tcW w:type="dxa" w:w="405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 link-analysis rule that clusters end users on shared identifiers, subject to confirming those data points are available in the SSOT tables.</w:t>
            </w:r>
          </w:p>
        </w:tc>
      </w:tr>
      <w:tr>
        <w:trPr>
          <w:cantSplit/>
        </w:trPr>
        <w:tc>
          <w:tcPr>
            <w:tcW w:type="dxa" w:w="27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bCs/>
                <w:sz w:val="20"/>
                <w:szCs w:val="20"/>
              </w:rPr>
              <w:t xml:space="preserve">Card fingerprint across multiple merchant profiles</w:t>
            </w:r>
          </w:p>
        </w:tc>
        <w:tc>
          <w:tcPr>
            <w:tcW w:type="dxa" w:w="405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All Card Acquiring rules evaluate activity within a single entity, so the same fingerprint used across several merchants is not connected.</w:t>
            </w:r>
          </w:p>
        </w:tc>
        <w:tc>
          <w:tcPr>
            <w:tcW w:type="dxa" w:w="405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 cross-merchant rule counting distinct merchant profiles per card fingerprint over 30 days, excluding merchants in the same commercial group.</w:t>
            </w:r>
          </w:p>
        </w:tc>
      </w:tr>
      <w:tr>
        <w:trPr>
          <w:cantSplit/>
        </w:trPr>
        <w:tc>
          <w:tcPr>
            <w:tcW w:type="dxa" w:w="27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bCs/>
                <w:sz w:val="20"/>
                <w:szCs w:val="20"/>
              </w:rPr>
              <w:t xml:space="preserve">Single restricted or unacceptable-country transaction on Card Acquiring and Issuing</w:t>
            </w:r>
          </w:p>
        </w:tc>
        <w:tc>
          <w:tcPr>
            <w:tcW w:type="dxa" w:w="405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Card Acquiring and Issuing country rules are share- or percentile-based, so low levels of restricted-country activity will not alert. Card Acquiring uses issuing country, not where the traffic originates.</w:t>
            </w:r>
          </w:p>
        </w:tc>
        <w:tc>
          <w:tcPr>
            <w:tcW w:type="dxa" w:w="405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A zero-tolerance restricted/unacceptable-country rule for Card Acquiring and Issuing, mirroring PayToCard Rule #11 and the PayToBank rule. Consider adding IP or billing country where available.</w:t>
            </w:r>
          </w:p>
        </w:tc>
      </w:tr>
      <w:tr>
        <w:trPr>
          <w:cantSplit/>
        </w:trPr>
        <w:tc>
          <w:tcPr>
            <w:tcW w:type="dxa" w:w="27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bCs/>
                <w:sz w:val="20"/>
                <w:szCs w:val="20"/>
              </w:rPr>
              <w:t xml:space="preserve">Declared business model vs actual processing</w:t>
            </w:r>
          </w:p>
        </w:tc>
        <w:tc>
          <w:tcPr>
            <w:tcW w:type="dxa" w:w="405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Rules rely on the MCC as configured. A merchant processing under the wrong MCC (e.g. online gambling under a digital games MCC) falls outside MCC-specific rules, and no rule compares declared products with actual activity.</w:t>
            </w:r>
          </w:p>
        </w:tc>
        <w:tc>
          <w:tcPr>
            <w:tcW w:type="dxa" w:w="405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Extend the APM peer-outlier approach (average ticket, rail mix) to Card Acquiring, and compare declared MCC and products with transaction descriptors and refund/chargeback profile. Keep periodic 1LOD website and product reviews.</w:t>
            </w:r>
          </w:p>
        </w:tc>
      </w:tr>
      <w:tr>
        <w:trPr>
          <w:cantSplit/>
        </w:trPr>
        <w:tc>
          <w:tcPr>
            <w:tcW w:type="dxa" w:w="270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bCs/>
                <w:sz w:val="20"/>
                <w:szCs w:val="20"/>
              </w:rPr>
              <w:t xml:space="preserve">Employee-related, subpoena / law enforcement and legal referred cases</w:t>
            </w:r>
          </w:p>
        </w:tc>
        <w:tc>
          <w:tcPr>
            <w:tcW w:type="dxa" w:w="405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These are outside TM by design and do not appear in transaction data.</w:t>
            </w:r>
          </w:p>
        </w:tc>
        <w:tc>
          <w:tcPr>
            <w:tcW w:type="dxa" w:w="4050"/>
            <w:tcBorders>
              <w:top w:val="single" w:color="000000" w:sz="4"/>
              <w:left w:val="single" w:color="000000" w:sz="4"/>
              <w:bottom w:val="single" w:color="000000" w:sz="4"/>
              <w:right w:val="single" w:color="000000" w:sz="4"/>
            </w:tcBorders>
            <w:tcMar>
              <w:top w:type="dxa" w:w="100"/>
              <w:left w:type="dxa" w:w="120"/>
              <w:bottom w:type="dxa" w:w="100"/>
              <w:right w:type="dxa" w:w="120"/>
            </w:tcMar>
            <w:vAlign w:val="top"/>
          </w:tcPr>
          <w:p>
            <w:pPr>
              <w:spacing w:after="0"/>
            </w:pPr>
            <w:r>
              <w:rPr>
                <w:rFonts w:ascii="Roboto" w:cs="Roboto" w:eastAsia="Roboto" w:hAnsi="Roboto"/>
                <w:b w:val="false"/>
                <w:bCs w:val="false"/>
                <w:sz w:val="20"/>
                <w:szCs w:val="20"/>
              </w:rPr>
              <w:t xml:space="preserve">Continue handling them through the Merchant Review Team and 1LOD screening, with escalation to the FIU and UAE MLRO outside the Salesforce TM workflow.</w:t>
            </w:r>
          </w:p>
        </w:tc>
      </w:tr>
    </w:tbl>
    <w:sectPr>
      <w:pgSz w:w="12240" w:h="15840" w:orient="portrait"/>
      <w:pgMar w:top="1080" w:right="720" w:bottom="10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2026-10-21T11:52:02.909Z</dcterms:created>
  <dcterms:modified xsi:type="dcterms:W3CDTF">2026-10-21T11:52:02.910Z</dcterms:modified>
</cp:coreProperties>
</file>

<file path=docProps/custom.xml><?xml version="1.0" encoding="utf-8"?>
<Properties xmlns="http://schemas.openxmlformats.org/officeDocument/2006/custom-properties" xmlns:vt="http://schemas.openxmlformats.org/officeDocument/2006/docPropsVTypes"/>
</file>