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Significant Risk (SR): Definition for Automated L3 Routing of TM Alerts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FCIU | DRAFT v0.1 for UAE MLRO, US BSA Officer and Group MLRO review | 21 Oct 2026 | Audience: OCS (pathway design)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1. Purpose</w:t>
      </w:r>
    </w:p>
    <w:p>
      <w:pPr>
        <w:spacing w:after="60"/>
      </w:pPr>
      <w:r>
        <w:rPr>
          <w:sz w:val="18"/>
          <w:szCs w:val="18"/>
        </w:rPr>
        <w:t xml:space="preserve">This note sets out a definition of </w:t>
      </w:r>
      <w:r>
        <w:rPr>
          <w:b/>
          <w:bCs/>
          <w:sz w:val="18"/>
          <w:szCs w:val="18"/>
        </w:rPr>
        <w:t xml:space="preserve">Significant Risk</w:t>
      </w:r>
      <w:r>
        <w:rPr>
          <w:sz w:val="18"/>
          <w:szCs w:val="18"/>
        </w:rPr>
        <w:t xml:space="preserve"> that OCS can use to design an automated pathway. Under it, any transaction monitoring (TM) alert classed as SR skips L1/L2 and goes straight to </w:t>
      </w:r>
      <w:r>
        <w:rPr>
          <w:b/>
          <w:bCs/>
          <w:sz w:val="18"/>
          <w:szCs w:val="18"/>
        </w:rPr>
        <w:t xml:space="preserve">L3 (FCIU)</w:t>
      </w:r>
      <w:r>
        <w:rPr>
          <w:sz w:val="18"/>
          <w:szCs w:val="18"/>
        </w:rPr>
        <w:t xml:space="preserve">. The definition rests on the CBUAE STR Guidance and also covers US (FinCEN/OFAC) obligations. Both regimes run their filing clocks from detection or alert generation, so removing L1/L2 hand-offs is what makes the SR deadlines achievable.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2. Proposed definition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Significant Risk: definition</w:t>
            </w:r>
          </w:p>
        </w:tc>
      </w:tr>
      <w:tr>
        <w:trPr>
          <w:tblHeader w:val="false"/>
        </w:trPr>
        <w:tc>
          <w:tcPr>
            <w:tcW w:type="dxa" w:w="10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 TM alert is </w:t>
            </w:r>
            <w:r>
              <w:rPr>
                <w:b/>
                <w:bCs/>
                <w:sz w:val="18"/>
                <w:szCs w:val="18"/>
              </w:rPr>
              <w:t xml:space="preserve">Significant Risk</w:t>
            </w:r>
            <w:r>
              <w:rPr>
                <w:sz w:val="18"/>
                <w:szCs w:val="18"/>
              </w:rPr>
              <w:t xml:space="preserve"> if, when it is generated, it meets one or more of the Tier 1 or Tier 2 criteria below. SR alerts route automatically to L3. Tier 1 alerts also notify the relevant MLRO/BSA Officer at the same time. L3 confirms or declassifies the SR label with a recorded rationale.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Tier 1: Immediate Attention</w:t>
            </w:r>
            <w:r>
              <w:rPr>
                <w:sz w:val="18"/>
                <w:szCs w:val="18"/>
              </w:rPr>
              <w:t xml:space="preserve"> (CBUAE STR Guidance §4.4 / §4.7; US 31 CFR 1022.320 immediate notification). Suspected </w:t>
            </w:r>
            <w:r>
              <w:rPr>
                <w:b/>
                <w:bCs/>
                <w:sz w:val="18"/>
                <w:szCs w:val="18"/>
              </w:rPr>
              <w:t xml:space="preserve">terrorist financing / illegal organisations or proliferation financing</w:t>
            </w:r>
            <w:r>
              <w:rPr>
                <w:sz w:val="18"/>
                <w:szCs w:val="18"/>
              </w:rPr>
              <w:t xml:space="preserve">; an </w:t>
            </w:r>
            <w:r>
              <w:rPr>
                <w:b/>
                <w:bCs/>
                <w:sz w:val="18"/>
                <w:szCs w:val="18"/>
              </w:rPr>
              <w:t xml:space="preserve">ongoing ML scheme indicated by law enforcement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 xml:space="preserve">sanctions evasion or a sanctioned / restricted-jurisdiction nexus</w:t>
            </w:r>
            <w:r>
              <w:rPr>
                <w:sz w:val="18"/>
                <w:szCs w:val="18"/>
              </w:rPr>
              <w:t xml:space="preserve">; and </w:t>
            </w:r>
            <w:r>
              <w:rPr>
                <w:b/>
                <w:bCs/>
                <w:sz w:val="18"/>
                <w:szCs w:val="18"/>
              </w:rPr>
              <w:t xml:space="preserve">child sexual exploitation (CSAM) or human trafficking</w:t>
            </w:r>
            <w:r>
              <w:rPr>
                <w:sz w:val="18"/>
                <w:szCs w:val="18"/>
              </w:rPr>
              <w:t xml:space="preserve">. These are cases where the alert-stage facts may already be enough to file.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Tier 2: Complex</w:t>
            </w:r>
            <w:r>
              <w:rPr>
                <w:sz w:val="18"/>
                <w:szCs w:val="18"/>
              </w:rPr>
              <w:t xml:space="preserve"> (CBUAE STR Guidance §4.5, TM-detectable factors). </w:t>
            </w:r>
            <w:r>
              <w:rPr>
                <w:b/>
                <w:bCs/>
                <w:sz w:val="18"/>
                <w:szCs w:val="18"/>
              </w:rPr>
              <w:t xml:space="preserve">(a) Multiple customers &amp; entities:</w:t>
            </w:r>
            <w:r>
              <w:rPr>
                <w:sz w:val="18"/>
                <w:szCs w:val="18"/>
              </w:rPr>
              <w:t xml:space="preserve"> unrelated end users share device ID, IP, card fingerprint, email domain, phone or beneficiary, or a fingerprint appears across merchants with no commercial logic. </w:t>
            </w:r>
            <w:r>
              <w:rPr>
                <w:b/>
                <w:bCs/>
                <w:sz w:val="18"/>
                <w:szCs w:val="18"/>
              </w:rPr>
              <w:t xml:space="preserve">(b) Multiple jurisdictions:</w:t>
            </w:r>
            <w:r>
              <w:rPr>
                <w:sz w:val="18"/>
                <w:szCs w:val="18"/>
              </w:rPr>
              <w:t xml:space="preserve"> traffic from restricted or unacceptable countries. </w:t>
            </w:r>
            <w:r>
              <w:rPr>
                <w:b/>
                <w:bCs/>
                <w:sz w:val="18"/>
                <w:szCs w:val="18"/>
              </w:rPr>
              <w:t xml:space="preserve">(c) Business-model discrepancy:</w:t>
            </w:r>
            <w:r>
              <w:rPr>
                <w:sz w:val="18"/>
                <w:szCs w:val="18"/>
              </w:rPr>
              <w:t xml:space="preserve"> a material deviation between the declared model and actual processing.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Out of TM scope</w:t>
            </w:r>
            <w:r>
              <w:rPr>
                <w:sz w:val="18"/>
                <w:szCs w:val="18"/>
              </w:rPr>
              <w:t xml:space="preserve"> (routed to L3 / MLRO through their own channels, per the CBUAE factor list): employee-related cases, subpoena / law-enforcement requests (Merchant Review Team first), and legal-referred investigations (1LOD Merchant Screening).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83"/>
        <w:gridCol w:w="4383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Regulatory clock</w:t>
            </w:r>
          </w:p>
        </w:tc>
        <w:tc>
          <w:tcPr>
            <w:tcW w:type="dxa" w:w="438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UAE (CBUAE)</w:t>
            </w:r>
          </w:p>
        </w:tc>
        <w:tc>
          <w:tcPr>
            <w:tcW w:type="dxa" w:w="438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 (FinCEN / OFAC)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Tier 1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MLRO decision within </w:t>
            </w:r>
            <w:r>
              <w:rPr>
                <w:b/>
                <w:bCs/>
                <w:sz w:val="18"/>
                <w:szCs w:val="18"/>
              </w:rPr>
              <w:t xml:space="preserve">24h of escalation</w:t>
            </w:r>
            <w:r>
              <w:rPr>
                <w:sz w:val="18"/>
                <w:szCs w:val="18"/>
              </w:rPr>
              <w:t xml:space="preserve">; first STR within </w:t>
            </w:r>
            <w:r>
              <w:rPr>
                <w:b/>
                <w:bCs/>
                <w:sz w:val="18"/>
                <w:szCs w:val="18"/>
              </w:rPr>
              <w:t xml:space="preserve">24h of the decision to file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Immediately</w:t>
            </w:r>
            <w:r>
              <w:rPr>
                <w:sz w:val="18"/>
                <w:szCs w:val="18"/>
              </w:rPr>
              <w:t xml:space="preserve"> notify law enforcement by telephone, plus a timely SAR. OFAC blocked/rejected reports within </w:t>
            </w:r>
            <w:r>
              <w:rPr>
                <w:b/>
                <w:bCs/>
                <w:sz w:val="18"/>
                <w:szCs w:val="18"/>
              </w:rPr>
              <w:t xml:space="preserve">10 business days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Tier 2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Initial STR, labelled </w:t>
            </w:r>
            <w:r>
              <w:rPr>
                <w:b/>
                <w:bCs/>
                <w:sz w:val="18"/>
                <w:szCs w:val="18"/>
              </w:rPr>
              <w:t xml:space="preserve">"Complex investigation"</w:t>
            </w:r>
            <w:r>
              <w:rPr>
                <w:sz w:val="18"/>
                <w:szCs w:val="18"/>
              </w:rPr>
              <w:t xml:space="preserve">, within </w:t>
            </w:r>
            <w:r>
              <w:rPr>
                <w:b/>
                <w:bCs/>
                <w:sz w:val="18"/>
                <w:szCs w:val="18"/>
              </w:rPr>
              <w:t xml:space="preserve">15 business days of alert generation</w:t>
            </w:r>
            <w:r>
              <w:rPr>
                <w:sz w:val="18"/>
                <w:szCs w:val="18"/>
              </w:rPr>
              <w:t xml:space="preserve">; follow-up STR within a further </w:t>
            </w:r>
            <w:r>
              <w:rPr>
                <w:b/>
                <w:bCs/>
                <w:sz w:val="18"/>
                <w:szCs w:val="18"/>
              </w:rPr>
              <w:t xml:space="preserve">30 business days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SAR within </w:t>
            </w:r>
            <w:r>
              <w:rPr>
                <w:b/>
                <w:bCs/>
                <w:sz w:val="18"/>
                <w:szCs w:val="18"/>
              </w:rPr>
              <w:t xml:space="preserve">30 calendar days of initial detection</w:t>
            </w:r>
            <w:r>
              <w:rPr>
                <w:sz w:val="18"/>
                <w:szCs w:val="18"/>
              </w:rPr>
              <w:t xml:space="preserve">. MSBs get no 60-day extension (that applies to banks only).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Non-SR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 within </w:t>
            </w:r>
            <w:r>
              <w:rPr>
                <w:b/>
                <w:bCs/>
                <w:sz w:val="18"/>
                <w:szCs w:val="18"/>
              </w:rPr>
              <w:t xml:space="preserve">35 business days</w:t>
            </w:r>
            <w:r>
              <w:rPr>
                <w:sz w:val="18"/>
                <w:szCs w:val="18"/>
              </w:rPr>
              <w:t xml:space="preserve"> of alert generation (current pathway).</w:t>
            </w:r>
          </w:p>
        </w:tc>
        <w:tc>
          <w:tcPr>
            <w:tcW w:type="dxa" w:w="43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 calendar days (current pathway).</w:t>
            </w:r>
          </w:p>
        </w:tc>
      </w:tr>
    </w:tbl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3. CBUAE factors applied to CKO: what we actually see</w:t>
      </w:r>
    </w:p>
    <w:p>
      <w:pPr>
        <w:spacing w:after="60"/>
      </w:pPr>
      <w:r>
        <w:rPr>
          <w:sz w:val="18"/>
          <w:szCs w:val="18"/>
        </w:rPr>
        <w:t xml:space="preserve">Taken from the FCIU L3 UAR log review. Counts are UARs tagged to each factor: TM-originated (UK and EMEA only) and non-TM (all regions).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100"/>
        <w:gridCol w:w="3166"/>
        <w:gridCol w:w="1550"/>
      </w:tblGrid>
      <w:tr>
        <w:trPr>
          <w:tblHeader/>
        </w:trPr>
        <w:tc>
          <w:tcPr>
            <w:tcW w:type="dxa" w:w="16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CBUAE factor</w:t>
            </w:r>
          </w:p>
        </w:tc>
        <w:tc>
          <w:tcPr>
            <w:tcW w:type="dxa" w:w="4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materialises at CKO (UAR evidence)</w:t>
            </w:r>
          </w:p>
        </w:tc>
        <w:tc>
          <w:tcPr>
            <w:tcW w:type="dxa" w:w="316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Candidate TM trigger for OCS to scope</w:t>
            </w:r>
          </w:p>
        </w:tc>
        <w:tc>
          <w:tcPr>
            <w:tcW w:type="dxa" w:w="15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 (TM / non-TM)</w:t>
            </w:r>
          </w:p>
        </w:tc>
      </w:tr>
      <w:tr>
        <w:trPr>
          <w:tblHeader w:val="false"/>
        </w:trPr>
        <w:tc>
          <w:tcPr>
            <w:tcW w:type="dxa" w:w="165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Multiple customers &amp; entities (Tier 2a)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Unrelated end users sharing device, fingerprint or email; card fingerprints crossing several unrelated merchants; one device linked to </w:t>
            </w:r>
            <w:r>
              <w:rPr>
                <w:b/>
                <w:bCs/>
                <w:sz w:val="18"/>
                <w:szCs w:val="18"/>
              </w:rPr>
              <w:t xml:space="preserve">3,000+ email addresses / fingerprints</w:t>
            </w:r>
            <w:r>
              <w:rPr>
                <w:sz w:val="18"/>
                <w:szCs w:val="18"/>
              </w:rPr>
              <w:t xml:space="preserve"> (APAC).</w:t>
            </w:r>
          </w:p>
        </w:tc>
        <w:tc>
          <w:tcPr>
            <w:tcW w:type="dxa" w:w="31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Link-analysis threshold, e.g. ≥N distinct end users per device/fingerprint, or one fingerprint on ≥N unrelated merchants within X days.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102</w:t>
            </w:r>
            <w:r>
              <w:rPr>
                <w:sz w:val="18"/>
                <w:szCs w:val="18"/>
              </w:rPr>
              <w:t xml:space="preserve"> (UK 75, EMEA 27) / 3</w:t>
            </w:r>
          </w:p>
        </w:tc>
      </w:tr>
      <w:tr>
        <w:trPr>
          <w:tblHeader w:val="false"/>
        </w:trPr>
        <w:tc>
          <w:tcPr>
            <w:tcW w:type="dxa" w:w="165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Multiple jurisdictions (Tier 2b, or Tier 1 if sanctions nexus)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  <w:r>
              <w:rPr>
                <w:sz w:val="18"/>
                <w:szCs w:val="18"/>
              </w:rPr>
              <w:t xml:space="preserve"> of one merchant's traffic from Russia; Ukraine share of volume rising </w:t>
            </w:r>
            <w:r>
              <w:rPr>
                <w:b/>
                <w:bCs/>
                <w:sz w:val="18"/>
                <w:szCs w:val="18"/>
              </w:rPr>
              <w:t xml:space="preserve">17% → ~55%</w:t>
            </w:r>
            <w:r>
              <w:rPr>
                <w:sz w:val="18"/>
                <w:szCs w:val="18"/>
              </w:rPr>
              <w:t xml:space="preserve"> (sanctions circumvention); unlicensed FX broker with 100% UK cardholders and FCA / CSA / CBR warnings.</w:t>
            </w:r>
          </w:p>
        </w:tc>
        <w:tc>
          <w:tcPr>
            <w:tcW w:type="dxa" w:w="31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% of volume from restricted / high-risk countries above a set level; sudden shift in jurisdiction mix; regulator warning-list match.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 / 1</w:t>
            </w:r>
          </w:p>
        </w:tc>
      </w:tr>
      <w:tr>
        <w:trPr>
          <w:tblHeader w:val="false"/>
        </w:trPr>
        <w:tc>
          <w:tcPr>
            <w:tcW w:type="dxa" w:w="165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Business-model discrepancy (Tier 2c)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Miscoded or unlicensed </w:t>
            </w:r>
            <w:r>
              <w:rPr>
                <w:b/>
                <w:bCs/>
                <w:sz w:val="18"/>
                <w:szCs w:val="18"/>
              </w:rPr>
              <w:t xml:space="preserve">gambling</w:t>
            </w:r>
            <w:r>
              <w:rPr>
                <w:sz w:val="18"/>
                <w:szCs w:val="18"/>
              </w:rPr>
              <w:t xml:space="preserve"> (including loot-box "chance to win" models with crypto-only payouts); </w:t>
            </w:r>
            <w:r>
              <w:rPr>
                <w:b/>
                <w:bCs/>
                <w:sz w:val="18"/>
                <w:szCs w:val="18"/>
              </w:rPr>
              <w:t xml:space="preserve">payouts disguised as refunds</w:t>
            </w:r>
            <w:r>
              <w:rPr>
                <w:sz w:val="18"/>
                <w:szCs w:val="18"/>
              </w:rPr>
              <w:t xml:space="preserve"> (22.41% refund rate); in-game currency and low-value "digital coins" taking multi-million flows; PayFac behaviour; front merchants.</w:t>
            </w:r>
          </w:p>
        </w:tc>
        <w:tc>
          <w:tcPr>
            <w:tcW w:type="dxa" w:w="31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Refund-rate spike vs baseline; descriptor/MCC vs declared LoB mismatch; high, round, near-daily deposits per end user. Scheme VIRP/BRAM notices sit outside TM but should feed the same flag.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 / </w:t>
            </w: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sz w:val="18"/>
                <w:szCs w:val="18"/>
              </w:rPr>
              <w:t xml:space="preserve"> (EMEA 15, USA 6, APAC 3, UK 2)</w:t>
            </w:r>
          </w:p>
        </w:tc>
      </w:tr>
      <w:tr>
        <w:trPr>
          <w:tblHeader w:val="false"/>
        </w:trPr>
        <w:tc>
          <w:tcPr>
            <w:tcW w:type="dxa" w:w="1650"/>
            <w:shd w:fill="FCE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Immediate attention (Tier 1)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CSAM</w:t>
            </w:r>
            <w:r>
              <w:rPr>
                <w:sz w:val="18"/>
                <w:szCs w:val="18"/>
              </w:rPr>
              <w:t xml:space="preserve"> flagged by Visa on a gift-card marketplace (USA); </w:t>
            </w:r>
            <w:r>
              <w:rPr>
                <w:b/>
                <w:bCs/>
                <w:sz w:val="18"/>
                <w:szCs w:val="18"/>
              </w:rPr>
              <w:t xml:space="preserve">underground remittance</w:t>
            </w:r>
            <w:r>
              <w:rPr>
                <w:sz w:val="18"/>
                <w:szCs w:val="18"/>
              </w:rPr>
              <w:t xml:space="preserve"> via crypto under LE indictment (APAC); </w:t>
            </w:r>
            <w:r>
              <w:rPr>
                <w:b/>
                <w:bCs/>
                <w:sz w:val="18"/>
                <w:szCs w:val="18"/>
              </w:rPr>
              <w:t xml:space="preserve">cannabis / illegal drugs and firearms</w:t>
            </w:r>
            <w:r>
              <w:rPr>
                <w:sz w:val="18"/>
                <w:szCs w:val="18"/>
              </w:rPr>
              <w:t xml:space="preserve"> sales (USA); sanctions exposure (above).</w:t>
            </w:r>
          </w:p>
        </w:tc>
        <w:tc>
          <w:tcPr>
            <w:tcW w:type="dxa" w:w="31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Sanctions / restricted-jurisdiction nexus, high-risk keyword and MCC hits, LE / TF list matches. Mostly non-TM today, so confirm which signals TM can detect.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Non-TM, from cases above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Key insight: </w:t>
      </w:r>
      <w:r>
        <w:rPr>
          <w:sz w:val="18"/>
          <w:szCs w:val="18"/>
        </w:rPr>
        <w:t xml:space="preserve">Tier 2a makes up about 94% of TM L3 UARs (102 of 108). If every Tier 2a alert routes to L3 without a calibrated threshold, it will overwhelm L3. OCS should model alert volumes before go-live. Non-TM UARs are dominated by business-model discrepancy (26 of 37), which shows where TM typologies could be extended.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4. US coverage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Timing:</w:t>
      </w:r>
      <w:r>
        <w:rPr>
          <w:sz w:val="18"/>
          <w:szCs w:val="18"/>
        </w:rPr>
        <w:t xml:space="preserve"> the CBUAE clocks are generally stricter (15 business days ≈ 21 calendar days vs 30 calendar days). Design to the CBUAE clocks and the US deadlines will also be met. The exception is Tier 1, where US law requires an </w:t>
      </w:r>
      <w:r>
        <w:rPr>
          <w:b/>
          <w:bCs/>
          <w:sz w:val="18"/>
          <w:szCs w:val="18"/>
        </w:rPr>
        <w:t xml:space="preserve">immediate telephone call to law enforcement</w:t>
      </w:r>
      <w:r>
        <w:rPr>
          <w:sz w:val="18"/>
          <w:szCs w:val="18"/>
        </w:rPr>
        <w:t xml:space="preserve">, so this must be built into the Tier 1 workflow.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Scope:</w:t>
      </w:r>
      <w:r>
        <w:rPr>
          <w:sz w:val="18"/>
          <w:szCs w:val="18"/>
        </w:rPr>
        <w:t xml:space="preserve"> add the </w:t>
      </w:r>
      <w:r>
        <w:rPr>
          <w:b/>
          <w:bCs/>
          <w:sz w:val="18"/>
          <w:szCs w:val="18"/>
        </w:rPr>
        <w:t xml:space="preserve">FinCEN AML/CFT National Priorities</w:t>
      </w:r>
      <w:r>
        <w:rPr>
          <w:sz w:val="18"/>
          <w:szCs w:val="18"/>
        </w:rPr>
        <w:t xml:space="preserve"> to Tier 1/2 typologies: corruption, cybercrime, TF, fraud, transnational criminal organisations, drug trafficking, human trafficking/smuggling and proliferation financing. All 6 US non-TM UARs map to these (drugs/cannabis, firearms, illegal gambling, scams).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Escalation risk:</w:t>
      </w:r>
      <w:r>
        <w:rPr>
          <w:sz w:val="18"/>
          <w:szCs w:val="18"/>
        </w:rPr>
        <w:t xml:space="preserve"> several cartels and TCOs were designated as FTOs/SDGTs in 2025. Drug-linked flows may therefore carry </w:t>
      </w:r>
      <w:r>
        <w:rPr>
          <w:b/>
          <w:bCs/>
          <w:sz w:val="18"/>
          <w:szCs w:val="18"/>
        </w:rPr>
        <w:t xml:space="preserve">TF and OFAC exposure</w:t>
      </w:r>
      <w:r>
        <w:rPr>
          <w:sz w:val="18"/>
          <w:szCs w:val="18"/>
        </w:rPr>
        <w:t xml:space="preserve">, which supports treating them as Tier 1 (US BSA Officer / Legal to confirm).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Confirm:</w:t>
      </w:r>
      <w:r>
        <w:rPr>
          <w:sz w:val="18"/>
          <w:szCs w:val="18"/>
        </w:rPr>
        <w:t xml:space="preserve"> the regulatory status of CKO's US entity (FinCEN MSB under 31 CFR 1022.320, and/or partner-bank obligations under 1020.320, which allow a 60-day extension) and any partner-bank SLAs.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5. Governance, open points and next steps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MLRO cover:</w:t>
      </w:r>
      <w:r>
        <w:rPr>
          <w:sz w:val="18"/>
          <w:szCs w:val="18"/>
        </w:rPr>
        <w:t xml:space="preserve"> the UAE MLRO approves the definition and owns the "Complex" designation and FIU labelling. Automation routes the alert, but L3/MLRO makes the designation. The US BSA Officer and Group MLRO sign off the US and global fit.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Controls:</w:t>
      </w:r>
      <w:r>
        <w:rPr>
          <w:sz w:val="18"/>
          <w:szCs w:val="18"/>
        </w:rPr>
        <w:t xml:space="preserve"> L3 can declassify an alert and return it to L1/L2 with a rationale. Run monthly QA sampling of SR and non-SR alerts, and report MI on SR volumes, false-positive rate and timeliness against each clock.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Data gaps to close:</w:t>
      </w:r>
      <w:r>
        <w:rPr>
          <w:sz w:val="18"/>
          <w:szCs w:val="18"/>
        </w:rPr>
        <w:t xml:space="preserve"> the TM L3 log has no MENA, APAC or USA data. The review period isn't stated. The UK and EMEA Tier 2a non-TM entries look duplicated and describe one end user with multiple cards, which does not meet the "multiple unrelated users" test.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Validation:</w:t>
      </w:r>
      <w:r>
        <w:rPr>
          <w:sz w:val="18"/>
          <w:szCs w:val="18"/>
        </w:rPr>
        <w:t xml:space="preserve"> check the factor wording and day counts against the live CBUAE Rulebook (the source note says "CBUAR", which is a typo). Primary sources: CBUAE Guidance for LFIs on STR (§4.1–4.7) and Guidance on TM &amp; Sanctions Screening; CBUAE / EOCN TFS guidance; 31 CFR 1022.320 / 1020.320; FinCEN National Priorities (2021) and advisories; OFAC 31 CFR 501.603–604.</w:t>
      </w:r>
    </w:p>
    <w:sectPr>
      <w:footerReference w:type="default" r:id="rId7"/>
      <w:pgSz w:w="11906" w:h="16838" w:orient="portrait"/>
      <w:pgMar w:top="68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4"/>
        <w:szCs w:val="14"/>
      </w:rPr>
      <w:t xml:space="preserve">Internal – Draft for MLRO review |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2026-10-21T11:23:21.535Z</dcterms:created>
  <dcterms:modified xsi:type="dcterms:W3CDTF">2026-10-21T11:23:21.535Z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