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Roboto" w:cs="Roboto" w:eastAsia="Roboto" w:hAnsi="Roboto"/>
          <w:b/>
          <w:bCs/>
          <w:sz w:val="30"/>
          <w:szCs w:val="30"/>
        </w:rPr>
        <w:t xml:space="preserve">Significant risk (complex investigations): definition and CKO context</w:t>
      </w:r>
    </w:p>
    <w:p>
      <w:pPr>
        <w:spacing w:after="60"/>
      </w:pPr>
      <w:r>
        <w:rPr>
          <w:rFonts w:ascii="Roboto" w:cs="Roboto" w:eastAsia="Roboto" w:hAnsi="Roboto"/>
          <w:b/>
          <w:bCs/>
          <w:sz w:val="19"/>
          <w:szCs w:val="19"/>
        </w:rPr>
        <w:t xml:space="preserve">Source: </w:t>
      </w:r>
      <w:r>
        <w:rPr>
          <w:rFonts w:ascii="Roboto" w:cs="Roboto" w:eastAsia="Roboto" w:hAnsi="Roboto"/>
          <w:sz w:val="19"/>
          <w:szCs w:val="19"/>
        </w:rPr>
        <w:t xml:space="preserve">CBUAE AML Rulebook, Section 4.5, as summarised in the UAE Complex Investigations paper. CKO examples are drawn from the AML TM SSOT Rules Inventory and the complex case assessment.</w:t>
      </w:r>
    </w:p>
    <w:p>
      <w:pPr>
        <w:spacing w:after="60" w:before="100"/>
      </w:pPr>
      <w:r>
        <w:rPr>
          <w:rFonts w:ascii="Roboto" w:cs="Roboto" w:eastAsia="Roboto" w:hAnsi="Roboto"/>
          <w:b/>
          <w:bCs/>
          <w:sz w:val="24"/>
          <w:szCs w:val="24"/>
        </w:rPr>
        <w:t xml:space="preserve">1. Definition</w:t>
      </w:r>
    </w:p>
    <w:p>
      <w:pPr>
        <w:spacing w:after="80"/>
      </w:pPr>
      <w:r>
        <w:rPr>
          <w:rFonts w:ascii="Roboto" w:cs="Roboto" w:eastAsia="Roboto" w:hAnsi="Roboto"/>
          <w:sz w:val="19"/>
          <w:szCs w:val="19"/>
        </w:rPr>
        <w:t xml:space="preserve">A </w:t>
      </w:r>
      <w:r>
        <w:rPr>
          <w:rFonts w:ascii="Roboto" w:cs="Roboto" w:eastAsia="Roboto" w:hAnsi="Roboto"/>
          <w:b/>
          <w:bCs/>
          <w:sz w:val="19"/>
          <w:szCs w:val="19"/>
        </w:rPr>
        <w:t xml:space="preserve">complex investigation</w:t>
      </w:r>
      <w:r>
        <w:rPr>
          <w:rFonts w:ascii="Roboto" w:cs="Roboto" w:eastAsia="Roboto" w:hAnsi="Roboto"/>
          <w:sz w:val="19"/>
          <w:szCs w:val="19"/>
        </w:rPr>
        <w:t xml:space="preserve"> is unusual or suspicious activity that is inherently complex in nature. It is defined by </w:t>
      </w:r>
      <w:r>
        <w:rPr>
          <w:rFonts w:ascii="Roboto" w:cs="Roboto" w:eastAsia="Roboto" w:hAnsi="Roboto"/>
          <w:b/>
          <w:bCs/>
          <w:sz w:val="19"/>
          <w:szCs w:val="19"/>
        </w:rPr>
        <w:t xml:space="preserve">multi-faceted transaction patterns, multi-jurisdictional elements, or severe legal or employee implications</w:t>
      </w:r>
      <w:r>
        <w:rPr>
          <w:rFonts w:ascii="Roboto" w:cs="Roboto" w:eastAsia="Roboto" w:hAnsi="Roboto"/>
          <w:sz w:val="19"/>
          <w:szCs w:val="19"/>
        </w:rPr>
        <w:t xml:space="preserve"> that require extended analytical review.</w:t>
      </w:r>
    </w:p>
    <w:p>
      <w:pPr>
        <w:spacing w:after="40"/>
      </w:pPr>
      <w:r>
        <w:rPr>
          <w:rFonts w:ascii="Roboto" w:cs="Roboto" w:eastAsia="Roboto" w:hAnsi="Roboto"/>
          <w:b/>
          <w:bCs/>
          <w:sz w:val="19"/>
          <w:szCs w:val="19"/>
        </w:rPr>
        <w:t xml:space="preserve">Reporting to the FIU: </w:t>
      </w:r>
      <w:r>
        <w:rPr>
          <w:rFonts w:ascii="Roboto" w:cs="Roboto" w:eastAsia="Roboto" w:hAnsi="Roboto"/>
          <w:sz w:val="19"/>
          <w:szCs w:val="19"/>
        </w:rPr>
        <w:t xml:space="preserve">an initial STR/SAR, labelled "Complex Investigation", within </w:t>
      </w:r>
      <w:r>
        <w:rPr>
          <w:rFonts w:ascii="Roboto" w:cs="Roboto" w:eastAsia="Roboto" w:hAnsi="Roboto"/>
          <w:b/>
          <w:bCs/>
          <w:sz w:val="19"/>
          <w:szCs w:val="19"/>
        </w:rPr>
        <w:t xml:space="preserve">15 business days</w:t>
      </w:r>
      <w:r>
        <w:rPr>
          <w:rFonts w:ascii="Roboto" w:cs="Roboto" w:eastAsia="Roboto" w:hAnsi="Roboto"/>
          <w:sz w:val="19"/>
          <w:szCs w:val="19"/>
        </w:rPr>
        <w:t xml:space="preserve"> of the alert, then a detailed follow-up STR/SAR within a further </w:t>
      </w:r>
      <w:r>
        <w:rPr>
          <w:rFonts w:ascii="Roboto" w:cs="Roboto" w:eastAsia="Roboto" w:hAnsi="Roboto"/>
          <w:b/>
          <w:bCs/>
          <w:sz w:val="19"/>
          <w:szCs w:val="19"/>
        </w:rPr>
        <w:t xml:space="preserve">30 business days</w:t>
      </w:r>
      <w:r>
        <w:rPr>
          <w:rFonts w:ascii="Roboto" w:cs="Roboto" w:eastAsia="Roboto" w:hAnsi="Roboto"/>
          <w:sz w:val="19"/>
          <w:szCs w:val="19"/>
        </w:rPr>
        <w:t xml:space="preserve"> once due diligence is complete. Any one of the indicators below can qualify a case; the list is non-exhaustive.</w:t>
      </w:r>
    </w:p>
    <w:p>
      <w:pPr>
        <w:spacing w:after="60" w:before="100"/>
      </w:pPr>
      <w:r>
        <w:rPr>
          <w:rFonts w:ascii="Roboto" w:cs="Roboto" w:eastAsia="Roboto" w:hAnsi="Roboto"/>
          <w:b/>
          <w:bCs/>
          <w:sz w:val="24"/>
          <w:szCs w:val="24"/>
        </w:rPr>
        <w:t xml:space="preserve">2. What this looks like at CKO</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700"/>
        <w:gridCol w:w="2760"/>
        <w:gridCol w:w="4500"/>
        <w:gridCol w:w="2200"/>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Roboto" w:cs="Roboto" w:eastAsia="Roboto" w:hAnsi="Roboto"/>
                <w:b/>
                <w:bCs/>
                <w:sz w:val="17"/>
                <w:szCs w:val="17"/>
              </w:rPr>
              <w:t xml:space="preserve">Category</w:t>
            </w:r>
          </w:p>
        </w:tc>
        <w:tc>
          <w:tcPr>
            <w:tcW w:type="dxa" w:w="27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Roboto" w:cs="Roboto" w:eastAsia="Roboto" w:hAnsi="Roboto"/>
                <w:b/>
                <w:bCs/>
                <w:sz w:val="17"/>
                <w:szCs w:val="17"/>
              </w:rPr>
              <w:t xml:space="preserve">What the CBUAE says</w:t>
            </w:r>
          </w:p>
        </w:tc>
        <w:tc>
          <w:tcPr>
            <w:tcW w:type="dxa" w:w="4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Roboto" w:cs="Roboto" w:eastAsia="Roboto" w:hAnsi="Roboto"/>
                <w:b/>
                <w:bCs/>
                <w:sz w:val="17"/>
                <w:szCs w:val="17"/>
              </w:rPr>
              <w:t xml:space="preserve">How it may materialise at CKO</w:t>
            </w:r>
          </w:p>
        </w:tc>
        <w:tc>
          <w:tcPr>
            <w:tcW w:type="dxa" w:w="2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Roboto" w:cs="Roboto" w:eastAsia="Roboto" w:hAnsi="Roboto"/>
                <w:b/>
                <w:bCs/>
                <w:sz w:val="17"/>
                <w:szCs w:val="17"/>
              </w:rPr>
              <w:t xml:space="preserve">TM coverage today</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Roboto" w:cs="Roboto" w:eastAsia="Roboto" w:hAnsi="Roboto"/>
                <w:b/>
                <w:bCs/>
                <w:sz w:val="17"/>
                <w:szCs w:val="17"/>
              </w:rPr>
              <w:t xml:space="preserve">Employee-related</w:t>
            </w:r>
          </w:p>
        </w:tc>
        <w:tc>
          <w:tcPr>
            <w:tcW w:type="dxa" w:w="27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Roboto" w:cs="Roboto" w:eastAsia="Roboto" w:hAnsi="Roboto"/>
                <w:sz w:val="17"/>
                <w:szCs w:val="17"/>
              </w:rPr>
              <w:t xml:space="preserve">Cases involving internal staff, or employee conflict or misconduct, linked to suspicious activity.</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ListParagraph"/>
              <w:numPr>
                <w:ilvl w:val="0"/>
                <w:numId w:val="2"/>
              </w:numPr>
              <w:spacing w:after="30"/>
            </w:pPr>
            <w:r>
              <w:rPr>
                <w:rFonts w:ascii="Roboto" w:cs="Roboto" w:eastAsia="Roboto" w:hAnsi="Roboto"/>
                <w:sz w:val="17"/>
                <w:szCs w:val="17"/>
              </w:rPr>
              <w:t xml:space="preserve">An employee onboarding, approving or overriding controls for a merchant they are connected to.</w:t>
            </w:r>
          </w:p>
          <w:p>
            <w:pPr>
              <w:pStyle w:val="ListParagraph"/>
              <w:numPr>
                <w:ilvl w:val="0"/>
                <w:numId w:val="2"/>
              </w:numPr>
              <w:spacing w:after="30"/>
            </w:pPr>
            <w:r>
              <w:rPr>
                <w:rFonts w:ascii="Roboto" w:cs="Roboto" w:eastAsia="Roboto" w:hAnsi="Roboto"/>
                <w:sz w:val="17"/>
                <w:szCs w:val="17"/>
              </w:rPr>
              <w:t xml:space="preserve">Staff closing or suppressing alerts on a merchant without a clear rationale.</w:t>
            </w:r>
          </w:p>
          <w:p>
            <w:pPr>
              <w:pStyle w:val="ListParagraph"/>
              <w:numPr>
                <w:ilvl w:val="0"/>
                <w:numId w:val="2"/>
              </w:numPr>
              <w:spacing w:after="0"/>
            </w:pPr>
            <w:r>
              <w:rPr>
                <w:rFonts w:ascii="Roboto" w:cs="Roboto" w:eastAsia="Roboto" w:hAnsi="Roboto"/>
                <w:sz w:val="17"/>
                <w:szCs w:val="17"/>
              </w:rPr>
              <w:t xml:space="preserve">An employee colluding with a merchant to bypass risk or KYB review.</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Roboto" w:cs="Roboto" w:eastAsia="Roboto" w:hAnsi="Roboto"/>
                <w:b/>
                <w:bCs/>
                <w:sz w:val="17"/>
                <w:szCs w:val="17"/>
              </w:rPr>
              <w:t xml:space="preserve">Out of scope. </w:t>
            </w:r>
            <w:r>
              <w:rPr>
                <w:rFonts w:ascii="Roboto" w:cs="Roboto" w:eastAsia="Roboto" w:hAnsi="Roboto"/>
                <w:sz w:val="17"/>
                <w:szCs w:val="17"/>
              </w:rPr>
              <w:t xml:space="preserve">Confidential, handled outside TM and Screening.</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Roboto" w:cs="Roboto" w:eastAsia="Roboto" w:hAnsi="Roboto"/>
                <w:b/>
                <w:bCs/>
                <w:sz w:val="17"/>
                <w:szCs w:val="17"/>
              </w:rPr>
              <w:t xml:space="preserve">Multiple customers &amp; entities</w:t>
            </w:r>
          </w:p>
        </w:tc>
        <w:tc>
          <w:tcPr>
            <w:tcW w:type="dxa" w:w="27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Roboto" w:cs="Roboto" w:eastAsia="Roboto" w:hAnsi="Roboto"/>
                <w:sz w:val="17"/>
                <w:szCs w:val="17"/>
              </w:rPr>
              <w:t xml:space="preserve">Apparently unrelated end users sharing identical attributes (device ID, IP address, card fingerprint, email domain, telephone number or beneficiary account), or one card fingerprint crossing multiple merchant profiles without clear commercial logic.</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ListParagraph"/>
              <w:numPr>
                <w:ilvl w:val="0"/>
                <w:numId w:val="2"/>
              </w:numPr>
              <w:spacing w:after="30"/>
            </w:pPr>
            <w:r>
              <w:rPr>
                <w:rFonts w:ascii="Roboto" w:cs="Roboto" w:eastAsia="Roboto" w:hAnsi="Roboto"/>
                <w:sz w:val="17"/>
                <w:szCs w:val="17"/>
              </w:rPr>
              <w:t xml:space="preserve">Four or more different cards paying into the same recipient account at a crypto (MCC 6051) or gambling (MCC 7995) merchant, indicating a mule network.</w:t>
            </w:r>
          </w:p>
          <w:p>
            <w:pPr>
              <w:pStyle w:val="ListParagraph"/>
              <w:numPr>
                <w:ilvl w:val="0"/>
                <w:numId w:val="2"/>
              </w:numPr>
              <w:spacing w:after="30"/>
            </w:pPr>
            <w:r>
              <w:rPr>
                <w:rFonts w:ascii="Roboto" w:cs="Roboto" w:eastAsia="Roboto" w:hAnsi="Roboto"/>
                <w:sz w:val="17"/>
                <w:szCs w:val="17"/>
              </w:rPr>
              <w:t xml:space="preserve">One PayToCard card paying many different recipient names.</w:t>
            </w:r>
          </w:p>
          <w:p>
            <w:pPr>
              <w:pStyle w:val="ListParagraph"/>
              <w:numPr>
                <w:ilvl w:val="0"/>
                <w:numId w:val="2"/>
              </w:numPr>
              <w:spacing w:after="30"/>
            </w:pPr>
            <w:r>
              <w:rPr>
                <w:rFonts w:ascii="Roboto" w:cs="Roboto" w:eastAsia="Roboto" w:hAnsi="Roboto"/>
                <w:sz w:val="17"/>
                <w:szCs w:val="17"/>
              </w:rPr>
              <w:t xml:space="preserve">The same card fingerprint funding several unrelated crypto, gambling or money transfer merchants.</w:t>
            </w:r>
          </w:p>
          <w:p>
            <w:pPr>
              <w:pStyle w:val="ListParagraph"/>
              <w:numPr>
                <w:ilvl w:val="0"/>
                <w:numId w:val="2"/>
              </w:numPr>
              <w:spacing w:after="0"/>
            </w:pPr>
            <w:r>
              <w:rPr>
                <w:rFonts w:ascii="Roboto" w:cs="Roboto" w:eastAsia="Roboto" w:hAnsi="Roboto"/>
                <w:sz w:val="17"/>
                <w:szCs w:val="17"/>
              </w:rPr>
              <w:t xml:space="preserve">Sub-merchants under one platform or payment facilitator sharing the same IP, device or contact details.</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Roboto" w:cs="Roboto" w:eastAsia="Roboto" w:hAnsi="Roboto"/>
                <w:b/>
                <w:bCs/>
                <w:sz w:val="17"/>
                <w:szCs w:val="17"/>
              </w:rPr>
              <w:t xml:space="preserve">Partial. </w:t>
            </w:r>
            <w:r>
              <w:rPr>
                <w:rFonts w:ascii="Roboto" w:cs="Roboto" w:eastAsia="Roboto" w:hAnsi="Roboto"/>
                <w:sz w:val="17"/>
                <w:szCs w:val="17"/>
              </w:rPr>
              <w:t xml:space="preserve">Shared recipient account (4 MCCs) and PayToCard recipient names only. No device, IP, email, phone or cross-merchant rule.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Roboto" w:cs="Roboto" w:eastAsia="Roboto" w:hAnsi="Roboto"/>
                <w:b/>
                <w:bCs/>
                <w:sz w:val="17"/>
                <w:szCs w:val="17"/>
              </w:rPr>
              <w:t xml:space="preserve">Multiple jurisdictions</w:t>
            </w:r>
          </w:p>
        </w:tc>
        <w:tc>
          <w:tcPr>
            <w:tcW w:type="dxa" w:w="27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Roboto" w:cs="Roboto" w:eastAsia="Roboto" w:hAnsi="Roboto"/>
                <w:sz w:val="17"/>
                <w:szCs w:val="17"/>
              </w:rPr>
              <w:t xml:space="preserve">Traffic or transactions originating from restricted or unacceptable countries. Activity tied to restricted jurisdictions must be referred to the FIU for in-depth review.</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ListParagraph"/>
              <w:numPr>
                <w:ilvl w:val="0"/>
                <w:numId w:val="2"/>
              </w:numPr>
              <w:spacing w:after="30"/>
            </w:pPr>
            <w:r>
              <w:rPr>
                <w:rFonts w:ascii="Roboto" w:cs="Roboto" w:eastAsia="Roboto" w:hAnsi="Roboto"/>
                <w:sz w:val="17"/>
                <w:szCs w:val="17"/>
              </w:rPr>
              <w:t xml:space="preserve">Card Acquiring volume from cards issued in restricted or unacceptable countries.</w:t>
            </w:r>
          </w:p>
          <w:p>
            <w:pPr>
              <w:pStyle w:val="ListParagraph"/>
              <w:numPr>
                <w:ilvl w:val="0"/>
                <w:numId w:val="2"/>
              </w:numPr>
              <w:spacing w:after="30"/>
            </w:pPr>
            <w:r>
              <w:rPr>
                <w:rFonts w:ascii="Roboto" w:cs="Roboto" w:eastAsia="Roboto" w:hAnsi="Roboto"/>
                <w:sz w:val="17"/>
                <w:szCs w:val="17"/>
              </w:rPr>
              <w:t xml:space="preserve">PayToCard, PayToBank or Unreferenced Refund payouts to a restricted or unacceptable country.</w:t>
            </w:r>
          </w:p>
          <w:p>
            <w:pPr>
              <w:pStyle w:val="ListParagraph"/>
              <w:numPr>
                <w:ilvl w:val="0"/>
                <w:numId w:val="2"/>
              </w:numPr>
              <w:spacing w:after="30"/>
            </w:pPr>
            <w:r>
              <w:rPr>
                <w:rFonts w:ascii="Roboto" w:cs="Roboto" w:eastAsia="Roboto" w:hAnsi="Roboto"/>
                <w:sz w:val="17"/>
                <w:szCs w:val="17"/>
              </w:rPr>
              <w:t xml:space="preserve">Issuing cardholders spending or withdrawing cash in sanctioned countries.</w:t>
            </w:r>
          </w:p>
          <w:p>
            <w:pPr>
              <w:pStyle w:val="ListParagraph"/>
              <w:numPr>
                <w:ilvl w:val="0"/>
                <w:numId w:val="2"/>
              </w:numPr>
              <w:spacing w:after="0"/>
            </w:pPr>
            <w:r>
              <w:rPr>
                <w:rFonts w:ascii="Roboto" w:cs="Roboto" w:eastAsia="Roboto" w:hAnsi="Roboto"/>
                <w:sz w:val="17"/>
                <w:szCs w:val="17"/>
              </w:rPr>
              <w:t xml:space="preserve">A travel agent sub-merchant with a high-risk country enabled for Acquiring and Issuing (e.g. the Digital Zone case).</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Roboto" w:cs="Roboto" w:eastAsia="Roboto" w:hAnsi="Roboto"/>
                <w:b/>
                <w:bCs/>
                <w:sz w:val="17"/>
                <w:szCs w:val="17"/>
              </w:rPr>
              <w:t xml:space="preserve">Good on payouts. </w:t>
            </w:r>
            <w:r>
              <w:rPr>
                <w:rFonts w:ascii="Roboto" w:cs="Roboto" w:eastAsia="Roboto" w:hAnsi="Roboto"/>
                <w:sz w:val="17"/>
                <w:szCs w:val="17"/>
              </w:rPr>
              <w:t xml:space="preserve">Zero-tolerance on PayToCard and PayToBank. Card Acquiring and Issuing are share-based only.</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Roboto" w:cs="Roboto" w:eastAsia="Roboto" w:hAnsi="Roboto"/>
                <w:b/>
                <w:bCs/>
                <w:sz w:val="17"/>
                <w:szCs w:val="17"/>
              </w:rPr>
              <w:t xml:space="preserve">Multiple transactions &amp; business discrepancies</w:t>
            </w:r>
          </w:p>
        </w:tc>
        <w:tc>
          <w:tcPr>
            <w:tcW w:type="dxa" w:w="27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Roboto" w:cs="Roboto" w:eastAsia="Roboto" w:hAnsi="Roboto"/>
                <w:sz w:val="17"/>
                <w:szCs w:val="17"/>
              </w:rPr>
              <w:t xml:space="preserve">Significant deviations between the declared merchant business model and actual processing (e.g. online gambling under a digital games MCC, or new high-risk products not in the original offering).</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ListParagraph"/>
              <w:numPr>
                <w:ilvl w:val="0"/>
                <w:numId w:val="2"/>
              </w:numPr>
              <w:spacing w:after="30"/>
            </w:pPr>
            <w:r>
              <w:rPr>
                <w:rFonts w:ascii="Roboto" w:cs="Roboto" w:eastAsia="Roboto" w:hAnsi="Roboto"/>
                <w:sz w:val="17"/>
                <w:szCs w:val="17"/>
              </w:rPr>
              <w:t xml:space="preserve">Online gambling or betting processed under a digital games or software MCC.</w:t>
            </w:r>
          </w:p>
          <w:p>
            <w:pPr>
              <w:pStyle w:val="ListParagraph"/>
              <w:numPr>
                <w:ilvl w:val="0"/>
                <w:numId w:val="2"/>
              </w:numPr>
              <w:spacing w:after="30"/>
            </w:pPr>
            <w:r>
              <w:rPr>
                <w:rFonts w:ascii="Roboto" w:cs="Roboto" w:eastAsia="Roboto" w:hAnsi="Roboto"/>
                <w:sz w:val="17"/>
                <w:szCs w:val="17"/>
              </w:rPr>
              <w:t xml:space="preserve">A retail or e-commerce merchant adding a crypto on-ramp or money transfer service without re-onboarding.</w:t>
            </w:r>
          </w:p>
          <w:p>
            <w:pPr>
              <w:pStyle w:val="ListParagraph"/>
              <w:numPr>
                <w:ilvl w:val="0"/>
                <w:numId w:val="2"/>
              </w:numPr>
              <w:spacing w:after="30"/>
            </w:pPr>
            <w:r>
              <w:rPr>
                <w:rFonts w:ascii="Roboto" w:cs="Roboto" w:eastAsia="Roboto" w:hAnsi="Roboto"/>
                <w:sz w:val="17"/>
                <w:szCs w:val="17"/>
              </w:rPr>
              <w:t xml:space="preserve">A charity (MCC 8398) with high volumes or heavy prepaid card use.</w:t>
            </w:r>
          </w:p>
          <w:p>
            <w:pPr>
              <w:pStyle w:val="ListParagraph"/>
              <w:numPr>
                <w:ilvl w:val="0"/>
                <w:numId w:val="2"/>
              </w:numPr>
              <w:spacing w:after="0"/>
            </w:pPr>
            <w:r>
              <w:rPr>
                <w:rFonts w:ascii="Roboto" w:cs="Roboto" w:eastAsia="Roboto" w:hAnsi="Roboto"/>
                <w:sz w:val="17"/>
                <w:szCs w:val="17"/>
              </w:rPr>
              <w:t xml:space="preserve">An APM merchant with average ticket sizes far above industry peers, or a new Issuing programme issuing cards at unusual speed.</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Roboto" w:cs="Roboto" w:eastAsia="Roboto" w:hAnsi="Roboto"/>
                <w:b/>
                <w:bCs/>
                <w:sz w:val="17"/>
                <w:szCs w:val="17"/>
              </w:rPr>
              <w:t xml:space="preserve">Partial. </w:t>
            </w:r>
            <w:r>
              <w:rPr>
                <w:rFonts w:ascii="Roboto" w:cs="Roboto" w:eastAsia="Roboto" w:hAnsi="Roboto"/>
                <w:sz w:val="17"/>
                <w:szCs w:val="17"/>
              </w:rPr>
              <w:t xml:space="preserve">Peer and profile outliers exist (APM, charity, Issuing). No rule compares the declared MCC or product with actual activity.</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Roboto" w:cs="Roboto" w:eastAsia="Roboto" w:hAnsi="Roboto"/>
                <w:b/>
                <w:bCs/>
                <w:sz w:val="17"/>
                <w:szCs w:val="17"/>
              </w:rPr>
              <w:t xml:space="preserve">Multiple subpoena / law enforcement requests</w:t>
            </w:r>
          </w:p>
        </w:tc>
        <w:tc>
          <w:tcPr>
            <w:tcW w:type="dxa" w:w="27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Roboto" w:cs="Roboto" w:eastAsia="Roboto" w:hAnsi="Roboto"/>
                <w:sz w:val="17"/>
                <w:szCs w:val="17"/>
              </w:rPr>
              <w:t xml:space="preserve">A significant volume of official enquiries or law enforcement requests on a merchant.</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ListParagraph"/>
              <w:numPr>
                <w:ilvl w:val="0"/>
                <w:numId w:val="2"/>
              </w:numPr>
              <w:spacing w:after="30"/>
            </w:pPr>
            <w:r>
              <w:rPr>
                <w:rFonts w:ascii="Roboto" w:cs="Roboto" w:eastAsia="Roboto" w:hAnsi="Roboto"/>
                <w:sz w:val="17"/>
                <w:szCs w:val="17"/>
              </w:rPr>
              <w:t xml:space="preserve">Repeated police, regulator or FIU information requests on the same merchant.</w:t>
            </w:r>
          </w:p>
          <w:p>
            <w:pPr>
              <w:pStyle w:val="ListParagraph"/>
              <w:numPr>
                <w:ilvl w:val="0"/>
                <w:numId w:val="2"/>
              </w:numPr>
              <w:spacing w:after="0"/>
            </w:pPr>
            <w:r>
              <w:rPr>
                <w:rFonts w:ascii="Roboto" w:cs="Roboto" w:eastAsia="Roboto" w:hAnsi="Roboto"/>
                <w:sz w:val="17"/>
                <w:szCs w:val="17"/>
              </w:rPr>
              <w:t xml:space="preserve">A cluster of scam or fraud victim complaints routed through issuing banks or schemes.</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Roboto" w:cs="Roboto" w:eastAsia="Roboto" w:hAnsi="Roboto"/>
                <w:b/>
                <w:bCs/>
                <w:sz w:val="17"/>
                <w:szCs w:val="17"/>
              </w:rPr>
              <w:t xml:space="preserve">Out of scope. </w:t>
            </w:r>
            <w:r>
              <w:rPr>
                <w:rFonts w:ascii="Roboto" w:cs="Roboto" w:eastAsia="Roboto" w:hAnsi="Roboto"/>
                <w:sz w:val="17"/>
                <w:szCs w:val="17"/>
              </w:rPr>
              <w:t xml:space="preserve">First review by the Merchant Review Team, then to the FIU and UAE MLRO.</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Roboto" w:cs="Roboto" w:eastAsia="Roboto" w:hAnsi="Roboto"/>
                <w:b/>
                <w:bCs/>
                <w:sz w:val="17"/>
                <w:szCs w:val="17"/>
              </w:rPr>
              <w:t xml:space="preserve">Legal referred investigations</w:t>
            </w:r>
          </w:p>
        </w:tc>
        <w:tc>
          <w:tcPr>
            <w:tcW w:type="dxa" w:w="27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Roboto" w:cs="Roboto" w:eastAsia="Roboto" w:hAnsi="Roboto"/>
                <w:sz w:val="17"/>
                <w:szCs w:val="17"/>
              </w:rPr>
              <w:t xml:space="preserve">Active legal proceedings or investigations linked to merchants, requiring immediate 1LOD review and prompt escalation.</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ListParagraph"/>
              <w:numPr>
                <w:ilvl w:val="0"/>
                <w:numId w:val="2"/>
              </w:numPr>
              <w:spacing w:after="30"/>
            </w:pPr>
            <w:r>
              <w:rPr>
                <w:rFonts w:ascii="Roboto" w:cs="Roboto" w:eastAsia="Roboto" w:hAnsi="Roboto"/>
                <w:sz w:val="17"/>
                <w:szCs w:val="17"/>
              </w:rPr>
              <w:t xml:space="preserve">A merchant or its UBO named in criminal or civil proceedings, regulatory enforcement or asset-freezing orders.</w:t>
            </w:r>
          </w:p>
          <w:p>
            <w:pPr>
              <w:pStyle w:val="ListParagraph"/>
              <w:numPr>
                <w:ilvl w:val="0"/>
                <w:numId w:val="2"/>
              </w:numPr>
              <w:spacing w:after="0"/>
            </w:pPr>
            <w:r>
              <w:rPr>
                <w:rFonts w:ascii="Roboto" w:cs="Roboto" w:eastAsia="Roboto" w:hAnsi="Roboto"/>
                <w:sz w:val="17"/>
                <w:szCs w:val="17"/>
              </w:rPr>
              <w:t xml:space="preserve">Adverse media reporting an active investigation into a merchant.</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Roboto" w:cs="Roboto" w:eastAsia="Roboto" w:hAnsi="Roboto"/>
                <w:b/>
                <w:bCs/>
                <w:sz w:val="17"/>
                <w:szCs w:val="17"/>
              </w:rPr>
              <w:t xml:space="preserve">Out of scope. </w:t>
            </w:r>
            <w:r>
              <w:rPr>
                <w:rFonts w:ascii="Roboto" w:cs="Roboto" w:eastAsia="Roboto" w:hAnsi="Roboto"/>
                <w:sz w:val="17"/>
                <w:szCs w:val="17"/>
              </w:rPr>
              <w:t xml:space="preserve">1LOD merchant screening, then escalation to the FIU and UAE MLRO.</w:t>
            </w:r>
          </w:p>
        </w:tc>
      </w:tr>
    </w:tbl>
    <w:p>
      <w:pPr>
        <w:spacing w:before="80"/>
      </w:pPr>
      <w:r>
        <w:rPr>
          <w:rFonts w:ascii="Roboto" w:cs="Roboto" w:eastAsia="Roboto" w:hAnsi="Roboto"/>
          <w:b/>
          <w:bCs/>
          <w:sz w:val="17"/>
          <w:szCs w:val="17"/>
        </w:rPr>
        <w:t xml:space="preserve">Key gaps: </w:t>
      </w:r>
      <w:r>
        <w:rPr>
          <w:rFonts w:ascii="Roboto" w:cs="Roboto" w:eastAsia="Roboto" w:hAnsi="Roboto"/>
          <w:sz w:val="17"/>
          <w:szCs w:val="17"/>
        </w:rPr>
        <w:t xml:space="preserve">no TM rule links end users on shared device, IP, email or phone data, or tracks one card fingerprint across merchants; no zero-tolerance restricted-country rule on Card Acquiring or Issuing; and nothing compares the declared business model with actual processing.</w:t>
      </w:r>
    </w:p>
    <w:sectPr>
      <w:pgSz w:w="12240" w:h="15840" w:orient="portrait"/>
      <w:pgMar w:top="540" w:right="540" w:bottom="48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2026-10-21T13:02:06.731Z</dcterms:created>
  <dcterms:modified xsi:type="dcterms:W3CDTF">2026-10-21T13:02:06.735Z</dcterms:modified>
</cp:coreProperties>
</file>

<file path=docProps/custom.xml><?xml version="1.0" encoding="utf-8"?>
<Properties xmlns="http://schemas.openxmlformats.org/officeDocument/2006/custom-properties" xmlns:vt="http://schemas.openxmlformats.org/officeDocument/2006/docPropsVTypes"/>
</file>