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y7wjm3818kdj" w:id="0"/>
      <w:bookmarkEnd w:id="0"/>
      <w:r>
        <w:rPr>
          <w:rtl w:val="0"/>
        </w:rPr>
        <w:t xml:space="preserve">Significant Risk at </w:t>
      </w:r>
      <w:commentRangeStart w:id="0"/>
      <w:r>
        <w:rPr>
          <w:rtl w:val="0"/>
        </w:rPr>
        <w:t xml:space="preserve">CKO</w:t>
      </w:r>
      <w:commentRangeEnd w:id="0"/>
      <w:r>
        <w:commentReference w:id="0"/>
      </w:r>
      <w:r>
        <w:rPr>
          <w:rtl w:val="0"/>
        </w:rPr>
      </w:r>
    </w:p>
    <w:p w:rsidR="00000000" w:rsidDel="00000000" w:rsidP="00000000" w:rsidRDefault="00000000" w:rsidRPr="00000000" w14:paraId="00000002">
      <w:pPr>
        <w:pStyle w:val="Heading2"/>
        <w:rPr/>
      </w:pPr>
      <w:bookmarkStart w:colFirst="0" w:colLast="0" w:name="_63d5ezdok3ot" w:id="1"/>
      <w:bookmarkEnd w:id="1"/>
      <w:r>
        <w:rPr>
          <w:rtl w:val="0"/>
        </w:rPr>
        <w:t xml:space="preserve">1. What is a significant risk?</w:t>
      </w:r>
    </w:p>
    <w:p w:rsidR="00000000" w:rsidDel="00000000" w:rsidP="00000000" w:rsidRDefault="00000000" w:rsidRPr="00000000" w14:paraId="00000003">
      <w:pPr>
        <w:rPr/>
      </w:pPr>
      <w:r>
        <w:rPr>
          <w:rtl w:val="0"/>
        </w:rPr>
        <w:t xml:space="preserve">Significant risk is a financial crime risk that could expose CKO to serious legal, regulatory, financial or reputational harm if it materialises, and that standard monitoring cannot adequately manage. It is defined by the severity of the exposure, not by any single regulator: the same activity is a significant risk whether it touches CKO’s UAE, US or any other regulated entity. A significant risk needs case-by-case compliance review rather than routine alert handling. Where suspicion is formed, it is escalated under the reporting framework of each affected jurisdiction, for example as a complex investigation under CBUAE AML Rulebook Section 4.5 in the UAE, or as a Suspicious Activity Report (SAR) with immediate law enforcement notification under the Bank Secrecy Act (BSA) in the US.</w:t>
      </w:r>
    </w:p>
    <w:p w:rsidR="00000000" w:rsidDel="00000000" w:rsidP="00000000" w:rsidRDefault="00000000" w:rsidRPr="00000000" w14:paraId="00000004">
      <w:pPr>
        <w:rPr/>
      </w:pPr>
      <w:r>
        <w:rPr>
          <w:rtl w:val="0"/>
        </w:rPr>
      </w:r>
    </w:p>
    <w:p w:rsidR="00000000" w:rsidDel="00000000" w:rsidP="00000000" w:rsidRDefault="00000000" w:rsidRPr="00000000" w14:paraId="00000005">
      <w:pPr>
        <w:jc w:val="both"/>
        <w:rPr>
          <w:b w:val="1"/>
          <w:bCs w:val="1"/>
        </w:rPr>
      </w:pPr>
      <w:commentRangeStart w:id="1"/>
      <w:r>
        <w:rPr>
          <w:b w:val="1"/>
          <w:bCs w:val="1"/>
          <w:rtl w:val="0"/>
        </w:rPr>
        <w:t xml:space="preserve">Why is an Automated Urgent Risk Bypass Necessary?</w:t>
      </w:r>
      <w:commentRangeEnd w:id="1"/>
      <w:r>
        <w:commentReference w:id="1"/>
      </w:r>
      <w:r>
        <w:rPr>
          <w:rtl w:val="0"/>
        </w:rPr>
      </w:r>
    </w:p>
    <w:p w:rsidR="00000000" w:rsidDel="00000000" w:rsidP="00000000" w:rsidRDefault="00000000" w:rsidRPr="00000000" w14:paraId="00000006">
      <w:pPr>
        <w:jc w:val="both"/>
        <w:rPr/>
      </w:pPr>
      <w:r>
        <w:rPr>
          <w:rtl w:val="0"/>
        </w:rPr>
        <w:t xml:space="preserve">Significant risks carry regulatory obligations that are faster, or more immediate, than standard alert handling allows. In the UAE, CBUAE AML Rulebook Section 4.5 expects inherently "complex" or severe cases to be resolved and reported within 15 business days (compared to the standard 35-day window). In the US, there is no equivalent "complex case" fast-track, but the BSA SAR rules require immediate telephone notification to law enforcement for violations requiring immediate attention, such as suspected terrorist financing or ongoing money laundering schemes, alongside a SAR filed within 30 calendar days of initial detection. A sanctions nexus also requires OFAC blocking or reject reports within 10 business days. Standard transaction monitoring allows up to 27 calendar days across L1 triage and L2 investigation before reaching L3/FCIU. For cases carrying severe legal, regulatory or criminal exposure, this 1LoD ageing creates an unavoidable risk of regulatory breach in every jurisdiction involved. Establishing an automated "Significant Risk" pathway enables CKO to bypass routine L1/L2 triage and route qualifying alerts directly to FCIU, ensuring these cases are investigated and escalated to the MLRO (or the relevant local BSA/AML Officer) within the tightest applicable regulatory timeframe, including the UAE </w:t>
      </w:r>
      <w:commentRangeStart w:id="2"/>
      <w:r>
        <w:rPr>
          <w:rtl w:val="0"/>
        </w:rPr>
        <w:t xml:space="preserve">15-day regulatory timeframe, the US immediate-notification expectation, and CKO’s 5 day internal SLA, which applies regardless of jurisdiction.</w:t>
      </w:r>
      <w:commentRangeEnd w:id="2"/>
      <w:r>
        <w:commentReference w:id="2"/>
      </w:r>
      <w:r>
        <w:rPr>
          <w:rtl w:val="0"/>
        </w:rPr>
        <w:t xml:space="preserve"> </w:t>
      </w:r>
    </w:p>
    <w:p>
      <w:pPr>
        <w:keepNext w:val="1"/>
        <w:spacing w:before="200"/>
        <w:rPr>
          <w:b w:val="1"/>
          <w:bCs w:val="1"/>
        </w:rPr>
      </w:pPr>
      <w:r>
        <w:rPr>
          <w:b w:val="1"/>
          <w:bCs w:val="1"/>
        </w:rPr>
        <w:t xml:space="preserve">Regulatory drivers by jurisdiction</w:t>
      </w:r>
    </w:p>
    <w:tbl>
      <w:tblPr>
        <w:tblW w:w="9360" w:type="dxa"/>
        <w:tblLayout w:type="fixed"/>
        <w:tblLook w:val="0600"/>
      </w:tblPr>
      <w:tblGrid>
        <w:gridCol w:w="1700"/>
        <w:gridCol w:w="3830"/>
        <w:gridCol w:w="3830"/>
      </w:tblGrid>
      <w:tr>
        <w:trPr>
          <w:cantSplit w:val="1"/>
          <w:tblHeader w:val="1"/>
        </w:trPr>
        <w:tc>
          <w:tcPr>
            <w:tcW w:w="1700" w:type="dxa"/>
            <w:tcBorders>
              <w:top w:color="000000" w:space="0" w:sz="6" w:val="single"/>
              <w:left w:color="000000" w:space="0" w:sz="6" w:val="single"/>
              <w:bottom w:color="000000" w:space="0" w:sz="6" w:val="single"/>
              <w:right w:color="000000" w:space="0" w:sz="6" w:val="single"/>
            </w:tcBorders>
            <w:shd w:fill="e1e0e0" w:val="clear"/>
            <w:tcMar>
              <w:top w:w="60.0" w:type="dxa"/>
              <w:left w:w="60.0" w:type="dxa"/>
              <w:bottom w:w="60.0" w:type="dxa"/>
              <w:right w:w="60.0" w:type="dxa"/>
            </w:tcMar>
          </w:tcPr>
          <w:p>
            <w:pPr>
              <w:rPr>
                <w:sz w:val="20"/>
                <w:szCs w:val="20"/>
              </w:rPr>
            </w:pPr>
            <w:r>
              <w:rPr>
                <w:sz w:val="20"/>
                <w:szCs w:val="20"/>
              </w:rPr>
              <w:t xml:space="preserve"/>
            </w:r>
          </w:p>
        </w:tc>
        <w:tc>
          <w:tcPr>
            <w:tcW w:w="3830" w:type="dxa"/>
            <w:tcBorders>
              <w:top w:color="000000" w:space="0" w:sz="6" w:val="single"/>
              <w:left w:color="000000" w:space="0" w:sz="6" w:val="single"/>
              <w:bottom w:color="000000" w:space="0" w:sz="6" w:val="single"/>
              <w:right w:color="000000" w:space="0" w:sz="6" w:val="single"/>
            </w:tcBorders>
            <w:shd w:fill="e1e0e0" w:val="clear"/>
            <w:tcMar>
              <w:top w:w="60.0" w:type="dxa"/>
              <w:left w:w="60.0" w:type="dxa"/>
              <w:bottom w:w="60.0" w:type="dxa"/>
              <w:right w:w="60.0" w:type="dxa"/>
            </w:tcMar>
          </w:tcPr>
          <w:p>
            <w:pPr>
              <w:rPr>
                <w:b w:val="1"/>
                <w:bCs w:val="1"/>
                <w:sz w:val="20"/>
                <w:szCs w:val="20"/>
              </w:rPr>
            </w:pPr>
            <w:r>
              <w:rPr>
                <w:b w:val="1"/>
                <w:bCs w:val="1"/>
                <w:sz w:val="20"/>
                <w:szCs w:val="20"/>
              </w:rPr>
              <w:t xml:space="preserve">UAE</w:t>
            </w:r>
          </w:p>
        </w:tc>
        <w:tc>
          <w:tcPr>
            <w:tcW w:w="3830" w:type="dxa"/>
            <w:tcBorders>
              <w:top w:color="000000" w:space="0" w:sz="6" w:val="single"/>
              <w:left w:color="000000" w:space="0" w:sz="6" w:val="single"/>
              <w:bottom w:color="000000" w:space="0" w:sz="6" w:val="single"/>
              <w:right w:color="000000" w:space="0" w:sz="6" w:val="single"/>
            </w:tcBorders>
            <w:shd w:fill="e1e0e0" w:val="clear"/>
            <w:tcMar>
              <w:top w:w="60.0" w:type="dxa"/>
              <w:left w:w="60.0" w:type="dxa"/>
              <w:bottom w:w="60.0" w:type="dxa"/>
              <w:right w:w="60.0" w:type="dxa"/>
            </w:tcMar>
          </w:tcPr>
          <w:p>
            <w:pPr>
              <w:rPr>
                <w:b w:val="1"/>
                <w:bCs w:val="1"/>
                <w:sz w:val="20"/>
                <w:szCs w:val="20"/>
              </w:rPr>
            </w:pPr>
            <w:r>
              <w:rPr>
                <w:b w:val="1"/>
                <w:bCs w:val="1"/>
                <w:sz w:val="20"/>
                <w:szCs w:val="20"/>
              </w:rPr>
              <w:t xml:space="preserve">USA</w:t>
            </w:r>
          </w:p>
        </w:tc>
      </w:tr>
      <w:tr>
        <w:trPr>
          <w:cantSplit w:val="1"/>
        </w:trPr>
        <w:tc>
          <w:tcPr>
            <w:tcW w:w="1700" w:type="dxa"/>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tcPr>
          <w:p>
            <w:pPr>
              <w:rPr>
                <w:sz w:val="20"/>
                <w:szCs w:val="20"/>
              </w:rPr>
            </w:pPr>
            <w:r>
              <w:rPr>
                <w:sz w:val="20"/>
                <w:szCs w:val="20"/>
              </w:rPr>
              <w:t xml:space="preserve">Regulator / FIU</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Central Bank of the UAE (CBUAE); UAE Financial Intelligence Unit (goAML).</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FinCEN (Bank Secrecy Act); OFAC (sanctions); state regulators.</w:t>
            </w:r>
          </w:p>
        </w:tc>
      </w:tr>
      <w:tr>
        <w:trPr>
          <w:cantSplit w:val="1"/>
        </w:trPr>
        <w:tc>
          <w:tcPr>
            <w:tcW w:w="1700" w:type="dxa"/>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tcPr>
          <w:p>
            <w:pPr>
              <w:rPr>
                <w:sz w:val="20"/>
                <w:szCs w:val="20"/>
              </w:rPr>
            </w:pPr>
            <w:r>
              <w:rPr>
                <w:sz w:val="20"/>
                <w:szCs w:val="20"/>
              </w:rPr>
              <w:t xml:space="preserve">Standard reporting</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Standard 35-day window from detection to report.</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SAR filed within 30 calendar days of initial detection of facts that may constitute a basis for filing (31 CFR Chapter X SAR rules).</w:t>
            </w:r>
          </w:p>
        </w:tc>
      </w:tr>
      <w:tr>
        <w:trPr>
          <w:cantSplit w:val="1"/>
        </w:trPr>
        <w:tc>
          <w:tcPr>
            <w:tcW w:w="1700" w:type="dxa"/>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tcPr>
          <w:p>
            <w:pPr>
              <w:rPr>
                <w:sz w:val="20"/>
                <w:szCs w:val="20"/>
              </w:rPr>
            </w:pPr>
            <w:r>
              <w:rPr>
                <w:sz w:val="20"/>
                <w:szCs w:val="20"/>
              </w:rPr>
              <w:t xml:space="preserve">Urgent / expedited obligation</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Complex investigations (Rulebook Section 4.5): resolve and submit within 15 business days.</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No formal "complex case" fast-track.</w:t>
            </w:r>
          </w:p>
          <w:p>
            <w:pPr>
              <w:rPr>
                <w:sz w:val="20"/>
                <w:szCs w:val="20"/>
              </w:rPr>
            </w:pPr>
            <w:r>
              <w:rPr>
                <w:sz w:val="20"/>
                <w:szCs w:val="20"/>
              </w:rPr>
              <w:t xml:space="preserve">Violations requiring immediate attention (e.g. suspected TF, ongoing ML schemes): immediate telephone notification to law enforcement, plus a timely SAR.</w:t>
            </w:r>
          </w:p>
          <w:p>
            <w:pPr>
              <w:rPr>
                <w:sz w:val="20"/>
                <w:szCs w:val="20"/>
              </w:rPr>
            </w:pPr>
            <w:r>
              <w:rPr>
                <w:sz w:val="20"/>
                <w:szCs w:val="20"/>
              </w:rPr>
              <w:t xml:space="preserve">OFAC: blocked or rejected transactions reported within 10 business days (31 CFR 501.603 / 501.604).</w:t>
            </w:r>
          </w:p>
        </w:tc>
      </w:tr>
      <w:tr>
        <w:trPr>
          <w:cantSplit w:val="1"/>
        </w:trPr>
        <w:tc>
          <w:tcPr>
            <w:tcW w:w="1700" w:type="dxa"/>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tcPr>
          <w:p>
            <w:pPr>
              <w:rPr>
                <w:sz w:val="20"/>
                <w:szCs w:val="20"/>
              </w:rPr>
            </w:pPr>
            <w:r>
              <w:rPr>
                <w:sz w:val="20"/>
                <w:szCs w:val="20"/>
              </w:rPr>
              <w:t xml:space="preserve">Terrorist financing law and lists</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Federal Decree-Law No. 20 of 2018; UN Consolidated List and UAE Local Terrorist List; targeted financial sanctions (freeze without delay).</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18 U.S.C. §§ 2339A–2339C (material support and financing of terrorism); OFAC SDN List (incl. SDGTs) and State Department FTO list; blocking obligations.</w:t>
            </w:r>
          </w:p>
        </w:tc>
      </w:tr>
      <w:tr>
        <w:trPr>
          <w:cantSplit w:val="1"/>
        </w:trPr>
        <w:tc>
          <w:tcPr>
            <w:tcW w:w="1700" w:type="dxa"/>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tcPr>
          <w:p>
            <w:pPr>
              <w:rPr>
                <w:sz w:val="20"/>
                <w:szCs w:val="20"/>
              </w:rPr>
            </w:pPr>
            <w:r>
              <w:rPr>
                <w:sz w:val="20"/>
                <w:szCs w:val="20"/>
              </w:rPr>
              <w:t xml:space="preserve">Restricted / sanctioned jurisdictions</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CBUAE complex investigation criteria require activity tied to restricted jurisdictions to be referred to the FIU for in-depth review.</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OFAC comprehensively sanctioned jurisdictions and regions: dealings generally prohibited for US persons (strict liability). FinCEN Section 311 special measures jurisdictions.</w:t>
            </w:r>
          </w:p>
        </w:tc>
      </w:tr>
      <w:tr>
        <w:trPr>
          <w:cantSplit w:val="1"/>
        </w:trPr>
        <w:tc>
          <w:tcPr>
            <w:tcW w:w="1700" w:type="dxa"/>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tcPr>
          <w:p>
            <w:pPr>
              <w:rPr>
                <w:sz w:val="20"/>
                <w:szCs w:val="20"/>
              </w:rPr>
            </w:pPr>
            <w:r>
              <w:rPr>
                <w:sz w:val="20"/>
                <w:szCs w:val="20"/>
              </w:rPr>
              <w:t xml:space="preserve">What it means for the pathway</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Case investigated and escalated to the MLRO well inside 15 business days.</w:t>
            </w:r>
          </w:p>
        </w:tc>
        <w:tc>
          <w:tcPr>
            <w:tcW w:w="3830" w:type="dxa"/>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pPr>
              <w:rPr>
                <w:sz w:val="20"/>
                <w:szCs w:val="20"/>
              </w:rPr>
            </w:pPr>
            <w:r>
              <w:rPr>
                <w:sz w:val="20"/>
                <w:szCs w:val="20"/>
              </w:rPr>
              <w:t xml:space="preserve">TF suspicion or sanctions nexus escalated on the day it is identified so law enforcement / OFAC obligations can be met; SAR within 30 days.</w:t>
            </w:r>
          </w:p>
        </w:tc>
      </w:tr>
    </w:tbl>
    <w:p/>
    <w:p w:rsidR="00000000" w:rsidDel="00000000" w:rsidP="00000000" w:rsidRDefault="00000000" w:rsidRPr="00000000" w14:paraId="00000007">
      <w:pPr>
        <w:jc w:val="both"/>
        <w:rPr>
          <w:strike w:val="1"/>
        </w:rPr>
      </w:pPr>
      <w:r>
        <w:rPr>
          <w:strike w:val="1"/>
          <w:rtl w:val="0"/>
        </w:rPr>
        <w:t xml:space="preserve">Under CBUAE Rulebook Section 4.5, a Licensed Financial Institution (LFI) may encounter unusual or suspicious activity that is inherently "complex" in nature. A complex investigation is defined by multi-faceted transaction patterns, multi-jurisdictional elements, or severe legal/employee implications that require extended analytical review.</w:t>
      </w:r>
    </w:p>
    <w:p w:rsidR="00000000" w:rsidDel="00000000" w:rsidP="00000000" w:rsidRDefault="00000000" w:rsidRPr="00000000" w14:paraId="00000008">
      <w:pPr>
        <w:pStyle w:val="Heading2"/>
        <w:rPr/>
      </w:pPr>
      <w:bookmarkStart w:colFirst="0" w:colLast="0" w:name="_rkb74kqxk0of" w:id="2"/>
      <w:bookmarkEnd w:id="2"/>
      <w:r>
        <w:rPr>
          <w:rtl w:val="0"/>
        </w:rPr>
        <w:t xml:space="preserve">2. Significant Risks for CKO</w:t>
      </w:r>
    </w:p>
    <w:p w:rsidR="00000000" w:rsidDel="00000000" w:rsidP="00000000" w:rsidRDefault="00000000" w:rsidRPr="00000000" w14:paraId="00000009">
      <w:pPr>
        <w:rPr/>
      </w:pPr>
      <w:r>
        <w:rPr>
          <w:rtl w:val="0"/>
        </w:rPr>
      </w:r>
    </w:p>
    <w:tbl>
      <w:tblPr>
        <w:tblStyle w:val="Table1"/>
        <w:tblpPr w:leftFromText="180" w:rightFromText="180" w:topFromText="180" w:bottomFromText="180" w:vertAnchor="text" w:horzAnchor="text" w:tblpX="-1020" w:tblpY="0"/>
        <w:tblW w:w="11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4770"/>
        <w:gridCol w:w="5550"/>
        <w:tblGridChange w:id="0">
          <w:tblGrid>
            <w:gridCol w:w="1140"/>
            <w:gridCol w:w="4770"/>
            <w:gridCol w:w="55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1e0e0" w:val="clear"/>
            <w:tcMar>
              <w:top w:w="60.0" w:type="dxa"/>
              <w:left w:w="60.0" w:type="dxa"/>
              <w:bottom w:w="60.0" w:type="dxa"/>
              <w:right w:w="60.0" w:type="dxa"/>
            </w:tcMar>
          </w:tcPr>
          <w:p w:rsidR="00000000" w:rsidDel="00000000" w:rsidP="00000000" w:rsidRDefault="00000000" w:rsidRPr="00000000" w14:paraId="0000000A">
            <w:pPr>
              <w:rPr>
                <w:sz w:val="20"/>
                <w:szCs w:val="20"/>
              </w:rPr>
            </w:pPr>
            <w:r>
              <w:rPr>
                <w:rtl w:val="0"/>
              </w:rPr>
            </w:r>
          </w:p>
        </w:tc>
        <w:tc>
          <w:tcPr>
            <w:tcBorders>
              <w:top w:color="000000" w:space="0" w:sz="6" w:val="single"/>
              <w:left w:color="000000" w:space="0" w:sz="6" w:val="single"/>
              <w:bottom w:color="000000" w:space="0" w:sz="6" w:val="single"/>
              <w:right w:color="000000" w:space="0" w:sz="6" w:val="single"/>
            </w:tcBorders>
            <w:shd w:fill="e1e0e0" w:val="clear"/>
            <w:tcMar>
              <w:top w:w="60.0" w:type="dxa"/>
              <w:left w:w="60.0" w:type="dxa"/>
              <w:bottom w:w="60.0" w:type="dxa"/>
              <w:right w:w="60.0" w:type="dxa"/>
            </w:tcMar>
          </w:tcPr>
          <w:p w:rsidR="00000000" w:rsidDel="00000000" w:rsidP="00000000" w:rsidRDefault="00000000" w:rsidRPr="00000000" w14:paraId="0000000B">
            <w:pPr>
              <w:rPr>
                <w:b w:val="1"/>
                <w:bCs w:val="1"/>
                <w:sz w:val="20"/>
                <w:szCs w:val="20"/>
              </w:rPr>
            </w:pPr>
            <w:r>
              <w:rPr>
                <w:b w:val="1"/>
                <w:bCs w:val="1"/>
                <w:sz w:val="20"/>
                <w:szCs w:val="20"/>
                <w:rtl w:val="0"/>
              </w:rPr>
              <w:t xml:space="preserve">Terrorist financing</w:t>
            </w:r>
          </w:p>
        </w:tc>
        <w:tc>
          <w:tcPr>
            <w:tcBorders>
              <w:top w:color="000000" w:space="0" w:sz="6" w:val="single"/>
              <w:left w:color="000000" w:space="0" w:sz="6" w:val="single"/>
              <w:bottom w:color="000000" w:space="0" w:sz="6" w:val="single"/>
              <w:right w:color="000000" w:space="0" w:sz="6" w:val="single"/>
            </w:tcBorders>
            <w:shd w:fill="e1e0e0" w:val="clear"/>
            <w:tcMar>
              <w:top w:w="60.0" w:type="dxa"/>
              <w:left w:w="60.0" w:type="dxa"/>
              <w:bottom w:w="60.0" w:type="dxa"/>
              <w:right w:w="60.0" w:type="dxa"/>
            </w:tcMar>
          </w:tcPr>
          <w:p w:rsidR="00000000" w:rsidDel="00000000" w:rsidP="00000000" w:rsidRDefault="00000000" w:rsidRPr="00000000" w14:paraId="0000000C">
            <w:pPr>
              <w:rPr>
                <w:b w:val="1"/>
                <w:bCs w:val="1"/>
                <w:sz w:val="20"/>
                <w:szCs w:val="20"/>
              </w:rPr>
            </w:pPr>
            <w:r>
              <w:rPr>
                <w:b w:val="1"/>
                <w:bCs w:val="1"/>
                <w:sz w:val="20"/>
                <w:szCs w:val="20"/>
                <w:rtl w:val="0"/>
              </w:rPr>
              <w:t xml:space="preserve">Jurisdiction: Restricted countries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tcPr>
          <w:p w:rsidR="00000000" w:rsidDel="00000000" w:rsidP="00000000" w:rsidRDefault="00000000" w:rsidRPr="00000000" w14:paraId="0000000D">
            <w:pPr>
              <w:rPr>
                <w:sz w:val="20"/>
                <w:szCs w:val="20"/>
              </w:rPr>
            </w:pPr>
            <w:r>
              <w:rPr>
                <w:sz w:val="20"/>
                <w:szCs w:val="20"/>
                <w:rtl w:val="0"/>
              </w:rPr>
              <w:t xml:space="preserve">What it 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0E">
            <w:pPr>
              <w:rPr>
                <w:sz w:val="20"/>
                <w:szCs w:val="20"/>
              </w:rPr>
            </w:pPr>
            <w:r>
              <w:rPr>
                <w:sz w:val="20"/>
                <w:szCs w:val="20"/>
                <w:rtl w:val="0"/>
              </w:rPr>
              <w:t xml:space="preserve">Terrorist financing (TF): providing or collecting funds, by any means, directly or indirectly, knowing or intending that they will be used for terrorism or by a terrorist or terrorist organisation (e.g. UAE Federal Decree-Law No. 20 of 2018; US 18 U.S.C. §§ 2339A–2339C). Funds may come from legitimate sources and are often low in value, so TF is harder to detect than money laundering.</w:t>
            </w:r>
          </w:p>
          <w:p w:rsidR="00000000" w:rsidDel="00000000" w:rsidP="00000000" w:rsidRDefault="00000000" w:rsidRPr="00000000" w14:paraId="0000000F">
            <w:pPr>
              <w:rPr>
                <w:sz w:val="20"/>
                <w:szCs w:val="20"/>
              </w:rPr>
            </w:pPr>
            <w:r>
              <w:rPr>
                <w:rtl w:val="0"/>
              </w:rPr>
            </w:r>
          </w:p>
          <w:p w:rsidR="00000000" w:rsidDel="00000000" w:rsidP="00000000" w:rsidRDefault="00000000" w:rsidRPr="00000000" w14:paraId="00000010">
            <w:pPr>
              <w:rPr/>
            </w:pPr>
            <w:r>
              <w:rPr>
                <w:sz w:val="20"/>
                <w:szCs w:val="20"/>
                <w:rtl w:val="0"/>
              </w:rPr>
              <w:t xml:space="preserve">Effective detection of TF without creating operational bottlenecks requires TM controls that target fund direction and velocity rather than static transaction amounts triggers:</w:t>
            </w:r>
            <w:r>
              <w:rPr>
                <w:rtl w:val="0"/>
              </w:rPr>
            </w:r>
          </w:p>
          <w:p w:rsidR="00000000" w:rsidDel="00000000" w:rsidP="00000000" w:rsidRDefault="00000000" w:rsidRPr="00000000" w14:paraId="00000011">
            <w:pPr>
              <w:rPr/>
            </w:pPr>
            <w:r>
              <w:rPr>
                <w:sz w:val="20"/>
                <w:szCs w:val="20"/>
                <w:rtl w:val="0"/>
              </w:rPr>
              <w:t xml:space="preserve">Payin: Standard processing of routine card payments and domestic donations reflects normal merchant activity and should remain suited for standard BAU TM.</w:t>
            </w:r>
            <w:r>
              <w:rPr>
                <w:rtl w:val="0"/>
              </w:rPr>
            </w:r>
          </w:p>
          <w:p w:rsidR="00000000" w:rsidDel="00000000" w:rsidP="00000000" w:rsidRDefault="00000000" w:rsidRPr="00000000" w14:paraId="00000012">
            <w:pPr>
              <w:rPr>
                <w:sz w:val="20"/>
                <w:szCs w:val="20"/>
              </w:rPr>
            </w:pPr>
            <w:r>
              <w:rPr>
                <w:sz w:val="20"/>
                <w:szCs w:val="20"/>
                <w:rtl w:val="0"/>
              </w:rPr>
              <w:t xml:space="preserve">Payouts: The heightened exposure occurs when funds leave the merchant platforms. Urgent FCIU review is crucial for payouts (PTC/PTB), unreferenced refunds, or crypto/remittance transfers routed to conflict zones, or high-risk jurisdictions.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13">
            <w:pPr>
              <w:rPr>
                <w:sz w:val="20"/>
                <w:szCs w:val="20"/>
              </w:rPr>
            </w:pPr>
            <w:r>
              <w:rPr>
                <w:sz w:val="20"/>
                <w:szCs w:val="20"/>
                <w:rtl w:val="0"/>
              </w:rPr>
              <w:t xml:space="preserve">Restricted countries: countries classified as "Restricted" in the CKO AML Geographic Risk Rating. Unlike "Unacceptable" countries (prohibited) and "High Risk" countries (enhanced monitoring), activity linked to a Restricted country needs compliance review on a case-by-case basis.</w:t>
            </w:r>
          </w:p>
          <w:p w:rsidR="00000000" w:rsidDel="00000000" w:rsidP="00000000" w:rsidRDefault="00000000" w:rsidRPr="00000000" w14:paraId="00000013">
            <w:pPr>
              <w:rPr>
                <w:sz w:val="20"/>
                <w:szCs w:val="20"/>
              </w:rPr>
            </w:pPr>
            <w:r>
              <w:rPr>
                <w:sz w:val="20"/>
                <w:szCs w:val="20"/>
                <w:rtl w:val="0"/>
              </w:rPr>
              <w:t xml:space="preserve">The rating applies group-wide, with local overlays on top. In the US, any nexus to an OFAC comprehensively sanctioned jurisdiction or region is prohibited for US persons and must be blocked or rejected and reported to OFAC, not just reviewed.</w:t>
            </w:r>
          </w:p>
        </w:tc>
      </w:tr>
      <w:tr>
        <w:trPr>
          <w:cantSplit w:val="0"/>
          <w:trHeight w:val="186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tcPr>
          <w:p w:rsidR="00000000" w:rsidDel="00000000" w:rsidP="00000000" w:rsidRDefault="00000000" w:rsidRPr="00000000" w14:paraId="00000014">
            <w:pPr>
              <w:spacing w:line="240" w:lineRule="auto"/>
              <w:rPr>
                <w:sz w:val="20"/>
                <w:szCs w:val="20"/>
              </w:rPr>
            </w:pPr>
            <w:r>
              <w:rPr>
                <w:sz w:val="20"/>
                <w:szCs w:val="20"/>
                <w:rtl w:val="0"/>
              </w:rPr>
              <w:t xml:space="preserve">Why it is significant for CKO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15">
            <w:pPr>
              <w:spacing w:after="260" w:before="240" w:line="240" w:lineRule="auto"/>
              <w:rPr>
                <w:sz w:val="20"/>
                <w:szCs w:val="20"/>
              </w:rPr>
            </w:pPr>
            <w:r>
              <w:rPr>
                <w:sz w:val="20"/>
                <w:szCs w:val="20"/>
                <w:rtl w:val="0"/>
              </w:rPr>
              <w:t xml:space="preserve">TF is a criminal offence with no minimum amount, so one transaction can be enough.</w:t>
            </w:r>
          </w:p>
          <w:p w:rsidR="00000000" w:rsidDel="00000000" w:rsidP="00000000" w:rsidRDefault="00000000" w:rsidRPr="00000000" w14:paraId="00000016">
            <w:pPr>
              <w:spacing w:after="260" w:before="240" w:line="240" w:lineRule="auto"/>
              <w:rPr>
                <w:sz w:val="20"/>
                <w:szCs w:val="20"/>
              </w:rPr>
            </w:pPr>
            <w:r>
              <w:rPr>
                <w:sz w:val="20"/>
                <w:szCs w:val="20"/>
                <w:rtl w:val="0"/>
              </w:rPr>
              <w:t xml:space="preserve">A link to a designated person or organisation (UN, UAE Local Terrorist List, OFAC SDN/SDGT, US FTO) triggers targeted financial sanctions and blocking obligations, not just reporting.</w:t>
            </w:r>
          </w:p>
          <w:p w:rsidR="00000000" w:rsidDel="00000000" w:rsidP="00000000" w:rsidRDefault="00000000" w:rsidRPr="00000000" w14:paraId="00000017">
            <w:pPr>
              <w:spacing w:after="240" w:before="240" w:line="240" w:lineRule="auto"/>
              <w:rPr>
                <w:sz w:val="20"/>
                <w:szCs w:val="20"/>
              </w:rPr>
            </w:pPr>
            <w:r>
              <w:rPr>
                <w:sz w:val="20"/>
                <w:szCs w:val="20"/>
                <w:rtl w:val="0"/>
              </w:rPr>
              <w:t xml:space="preserve">Serious regulatory, criminal and reputational exposure for CKO and its licences and registrations in every jurisdiction it operates in, including the UAE and the US.</w:t>
            </w:r>
          </w:p>
          <w:p w:rsidR="00000000" w:rsidDel="00000000" w:rsidP="00000000" w:rsidRDefault="00000000" w:rsidRPr="00000000" w14:paraId="00000017">
            <w:pPr>
              <w:spacing w:after="240" w:before="240" w:line="240" w:lineRule="auto"/>
              <w:rPr>
                <w:sz w:val="20"/>
                <w:szCs w:val="20"/>
              </w:rPr>
            </w:pPr>
            <w:r>
              <w:rPr>
                <w:sz w:val="20"/>
                <w:szCs w:val="20"/>
                <w:rtl w:val="0"/>
              </w:rPr>
              <w:t xml:space="preserve">In the US, suspected TF is a violation requiring immediate attention: law enforcement must be notified by telephone straight away, as well as a SAR being filed.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18">
            <w:pPr>
              <w:spacing w:after="260" w:before="240" w:line="240" w:lineRule="auto"/>
              <w:rPr>
                <w:sz w:val="20"/>
                <w:szCs w:val="20"/>
              </w:rPr>
            </w:pPr>
            <w:r>
              <w:rPr>
                <w:sz w:val="20"/>
                <w:szCs w:val="20"/>
                <w:rtl w:val="0"/>
              </w:rPr>
              <w:t xml:space="preserve">Cross-border traffic at scale means exposure can enter through any CKO product.</w:t>
            </w:r>
          </w:p>
          <w:p w:rsidR="00000000" w:rsidDel="00000000" w:rsidP="00000000" w:rsidRDefault="00000000" w:rsidRPr="00000000" w14:paraId="00000019">
            <w:pPr>
              <w:spacing w:after="260" w:before="240" w:line="240" w:lineRule="auto"/>
              <w:rPr>
                <w:sz w:val="20"/>
                <w:szCs w:val="20"/>
              </w:rPr>
            </w:pPr>
            <w:r>
              <w:rPr>
                <w:sz w:val="20"/>
                <w:szCs w:val="20"/>
                <w:rtl w:val="0"/>
              </w:rPr>
              <w:t xml:space="preserve">UAE: the CBUAE complex investigation criteria require activity tied to restricted jurisdictions to be referred to the FIU for in-depth review.</w:t>
            </w:r>
          </w:p>
          <w:p w:rsidR="00000000" w:rsidDel="00000000" w:rsidP="00000000" w:rsidRDefault="00000000" w:rsidRPr="00000000" w14:paraId="00000019">
            <w:pPr>
              <w:spacing w:after="260" w:before="240" w:line="240" w:lineRule="auto"/>
              <w:rPr>
                <w:sz w:val="20"/>
                <w:szCs w:val="20"/>
              </w:rPr>
            </w:pPr>
            <w:r>
              <w:rPr>
                <w:sz w:val="20"/>
                <w:szCs w:val="20"/>
                <w:rtl w:val="0"/>
              </w:rPr>
              <w:t xml:space="preserve">US: OFAC sanctions are strict liability, and blocked or rejected transactions must be reported to OFAC within 10 business days.</w:t>
            </w:r>
          </w:p>
          <w:p w:rsidR="00000000" w:rsidDel="00000000" w:rsidP="00000000" w:rsidRDefault="00000000" w:rsidRPr="00000000" w14:paraId="0000001A">
            <w:pPr>
              <w:spacing w:after="240" w:before="240" w:line="240" w:lineRule="auto"/>
              <w:rPr>
                <w:sz w:val="20"/>
                <w:szCs w:val="20"/>
              </w:rPr>
            </w:pPr>
            <w:r>
              <w:rPr>
                <w:sz w:val="20"/>
                <w:szCs w:val="20"/>
                <w:rtl w:val="0"/>
              </w:rPr>
              <w:t xml:space="preserve">Restricted countries often overlap with sanctions and TF risk.</w:t>
            </w:r>
          </w:p>
        </w:tc>
      </w:tr>
      <w:tr>
        <w:trPr>
          <w:cantSplit w:val="0"/>
          <w:trHeight w:val="291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tcPr>
          <w:p w:rsidR="00000000" w:rsidDel="00000000" w:rsidP="00000000" w:rsidRDefault="00000000" w:rsidRPr="00000000" w14:paraId="0000001B">
            <w:pPr>
              <w:spacing w:line="240" w:lineRule="auto"/>
              <w:rPr>
                <w:sz w:val="20"/>
                <w:szCs w:val="20"/>
              </w:rPr>
            </w:pPr>
            <w:r>
              <w:rPr>
                <w:sz w:val="20"/>
                <w:szCs w:val="20"/>
                <w:rtl w:val="0"/>
              </w:rPr>
              <w:t xml:space="preserve">How it may materialise at CKO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1C">
            <w:pPr>
              <w:spacing w:after="260" w:before="240" w:line="240" w:lineRule="auto"/>
              <w:rPr>
                <w:sz w:val="20"/>
                <w:szCs w:val="20"/>
              </w:rPr>
            </w:pPr>
            <w:r>
              <w:rPr>
                <w:sz w:val="20"/>
                <w:szCs w:val="20"/>
                <w:rtl w:val="0"/>
              </w:rPr>
              <w:t xml:space="preserve">Charities and fundraising (MCC 8398): donations paid with prepaid cards, or from cards issued in or near conflict zones, then moved on quickly.</w:t>
            </w:r>
          </w:p>
          <w:p w:rsidR="00000000" w:rsidDel="00000000" w:rsidP="00000000" w:rsidRDefault="00000000" w:rsidRPr="00000000" w14:paraId="0000001D">
            <w:pPr>
              <w:spacing w:after="260" w:before="240" w:line="240" w:lineRule="auto"/>
              <w:rPr>
                <w:sz w:val="20"/>
                <w:szCs w:val="20"/>
              </w:rPr>
            </w:pPr>
            <w:r>
              <w:rPr>
                <w:sz w:val="20"/>
                <w:szCs w:val="20"/>
                <w:rtl w:val="0"/>
              </w:rPr>
              <w:t xml:space="preserve">Collection: many low-value payments from different cards into one recipient account or wallet.</w:t>
            </w:r>
          </w:p>
          <w:p w:rsidR="00000000" w:rsidDel="00000000" w:rsidP="00000000" w:rsidRDefault="00000000" w:rsidRPr="00000000" w14:paraId="0000001E">
            <w:pPr>
              <w:spacing w:after="260" w:before="240" w:line="240" w:lineRule="auto"/>
              <w:rPr>
                <w:sz w:val="20"/>
                <w:szCs w:val="20"/>
              </w:rPr>
            </w:pPr>
            <w:r>
              <w:rPr>
                <w:sz w:val="20"/>
                <w:szCs w:val="20"/>
                <w:rtl w:val="0"/>
              </w:rPr>
              <w:t xml:space="preserve">Movement: money transfer (MCC 4829), PayToCard and PayToBank payouts to people in or near high-risk regions.</w:t>
            </w:r>
          </w:p>
          <w:p w:rsidR="00000000" w:rsidDel="00000000" w:rsidP="00000000" w:rsidRDefault="00000000" w:rsidRPr="00000000" w14:paraId="0000001F">
            <w:pPr>
              <w:spacing w:after="260" w:before="240" w:line="240" w:lineRule="auto"/>
              <w:rPr>
                <w:sz w:val="20"/>
                <w:szCs w:val="20"/>
              </w:rPr>
            </w:pPr>
            <w:r>
              <w:rPr>
                <w:sz w:val="20"/>
                <w:szCs w:val="20"/>
                <w:rtl w:val="0"/>
              </w:rPr>
              <w:t xml:space="preserve">Conversion: card funds converted to crypto (MCC 6051) and moved off-platform.</w:t>
            </w:r>
          </w:p>
          <w:p w:rsidR="00000000" w:rsidDel="00000000" w:rsidP="00000000" w:rsidRDefault="00000000" w:rsidRPr="00000000" w14:paraId="00000020">
            <w:pPr>
              <w:spacing w:after="240" w:before="240" w:line="240" w:lineRule="auto"/>
              <w:rPr>
                <w:sz w:val="20"/>
                <w:szCs w:val="20"/>
              </w:rPr>
            </w:pPr>
            <w:r>
              <w:rPr>
                <w:sz w:val="20"/>
                <w:szCs w:val="20"/>
                <w:rtl w:val="0"/>
              </w:rPr>
              <w:t xml:space="preserve">Issuing: prepaid or programme cards used for cash withdrawals in or near conflict zones.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21">
            <w:pPr>
              <w:spacing w:after="260" w:before="240" w:line="240" w:lineRule="auto"/>
              <w:rPr>
                <w:sz w:val="20"/>
                <w:szCs w:val="20"/>
              </w:rPr>
            </w:pPr>
            <w:r>
              <w:rPr>
                <w:sz w:val="20"/>
                <w:szCs w:val="20"/>
                <w:rtl w:val="0"/>
              </w:rPr>
              <w:t xml:space="preserve">Card Acquiring: captures on cards issued in a Restricted country.</w:t>
            </w:r>
          </w:p>
          <w:p w:rsidR="00000000" w:rsidDel="00000000" w:rsidP="00000000" w:rsidRDefault="00000000" w:rsidRPr="00000000" w14:paraId="00000022">
            <w:pPr>
              <w:spacing w:after="260" w:before="240" w:line="240" w:lineRule="auto"/>
              <w:rPr>
                <w:sz w:val="20"/>
                <w:szCs w:val="20"/>
              </w:rPr>
            </w:pPr>
            <w:r>
              <w:rPr>
                <w:sz w:val="20"/>
                <w:szCs w:val="20"/>
                <w:rtl w:val="0"/>
              </w:rPr>
              <w:t xml:space="preserve">PayToBank / PayToCard: payouts to bank accounts or cards in a Restricted country.</w:t>
            </w:r>
          </w:p>
          <w:p w:rsidR="00000000" w:rsidDel="00000000" w:rsidP="00000000" w:rsidRDefault="00000000" w:rsidRPr="00000000" w14:paraId="00000023">
            <w:pPr>
              <w:spacing w:after="260" w:before="240" w:line="240" w:lineRule="auto"/>
              <w:rPr>
                <w:sz w:val="20"/>
                <w:szCs w:val="20"/>
              </w:rPr>
            </w:pPr>
            <w:r>
              <w:rPr>
                <w:sz w:val="20"/>
                <w:szCs w:val="20"/>
                <w:rtl w:val="0"/>
              </w:rPr>
              <w:t xml:space="preserve">Unreferenced Refunds: refunds sent to a Restricted country.</w:t>
            </w:r>
          </w:p>
          <w:p w:rsidR="00000000" w:rsidDel="00000000" w:rsidP="00000000" w:rsidRDefault="00000000" w:rsidRPr="00000000" w14:paraId="00000024">
            <w:pPr>
              <w:spacing w:after="260" w:before="240" w:line="240" w:lineRule="auto"/>
              <w:rPr>
                <w:sz w:val="20"/>
                <w:szCs w:val="20"/>
              </w:rPr>
            </w:pPr>
            <w:r>
              <w:rPr>
                <w:sz w:val="20"/>
                <w:szCs w:val="20"/>
                <w:rtl w:val="0"/>
              </w:rPr>
              <w:t xml:space="preserve">Issuing: cardholder spend or cash withdrawals in a Restricted country.</w:t>
            </w:r>
          </w:p>
          <w:p w:rsidR="00000000" w:rsidDel="00000000" w:rsidP="00000000" w:rsidRDefault="00000000" w:rsidRPr="00000000" w14:paraId="00000025">
            <w:pPr>
              <w:spacing w:after="240" w:before="240" w:line="240" w:lineRule="auto"/>
              <w:rPr>
                <w:sz w:val="20"/>
                <w:szCs w:val="20"/>
              </w:rPr>
            </w:pPr>
            <w:r>
              <w:rPr>
                <w:sz w:val="20"/>
                <w:szCs w:val="20"/>
                <w:rtl w:val="0"/>
              </w:rPr>
              <w:t xml:space="preserve">Traffic origin: a card issued elsewhere, used from a Restricted-country IP.</w:t>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tcPr>
          <w:p w:rsidR="00000000" w:rsidDel="00000000" w:rsidP="00000000" w:rsidRDefault="00000000" w:rsidRPr="00000000" w14:paraId="00000026">
            <w:pPr>
              <w:spacing w:line="240" w:lineRule="auto"/>
              <w:rPr>
                <w:sz w:val="20"/>
                <w:szCs w:val="20"/>
              </w:rPr>
            </w:pPr>
            <w:r>
              <w:rPr>
                <w:sz w:val="20"/>
                <w:szCs w:val="20"/>
                <w:rtl w:val="0"/>
              </w:rPr>
              <w:t xml:space="preserve">Live TM rules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27">
            <w:pPr>
              <w:spacing w:after="260" w:before="240" w:line="240" w:lineRule="auto"/>
              <w:rPr>
                <w:sz w:val="20"/>
                <w:szCs w:val="20"/>
              </w:rPr>
            </w:pPr>
            <w:r>
              <w:rPr>
                <w:sz w:val="20"/>
                <w:szCs w:val="20"/>
                <w:rtl w:val="0"/>
              </w:rPr>
              <w:t xml:space="preserve">Charity volume and prepaid share (MCC 8398). ACQ-ENT-MCC8398-*</w:t>
            </w:r>
          </w:p>
          <w:p w:rsidR="00000000" w:rsidDel="00000000" w:rsidP="00000000" w:rsidRDefault="00000000" w:rsidRPr="00000000" w14:paraId="00000028">
            <w:pPr>
              <w:spacing w:after="260" w:before="240" w:line="240" w:lineRule="auto"/>
              <w:rPr>
                <w:sz w:val="20"/>
                <w:szCs w:val="20"/>
              </w:rPr>
            </w:pPr>
            <w:r>
              <w:rPr>
                <w:sz w:val="20"/>
                <w:szCs w:val="20"/>
                <w:rtl w:val="0"/>
              </w:rPr>
              <w:t xml:space="preserve">Prepaid share by merchant size. ACQ-ENT-ALL-*-PrepaidShareAbove_v1</w:t>
            </w:r>
          </w:p>
          <w:p w:rsidR="00000000" w:rsidDel="00000000" w:rsidP="00000000" w:rsidRDefault="00000000" w:rsidRPr="00000000" w14:paraId="00000029">
            <w:pPr>
              <w:spacing w:after="260" w:before="240" w:line="240" w:lineRule="auto"/>
              <w:rPr>
                <w:sz w:val="20"/>
                <w:szCs w:val="20"/>
              </w:rPr>
            </w:pPr>
            <w:r>
              <w:rPr>
                <w:sz w:val="20"/>
                <w:szCs w:val="20"/>
                <w:rtl w:val="0"/>
              </w:rPr>
              <w:t xml:space="preserve">Many cards paying one recipient account (4 high-risk MCCs). ACQ-ENT-MCC6012-6051-6211-7995-MT-HiddenRelationshipStructuring_v1</w:t>
            </w:r>
          </w:p>
          <w:p w:rsidR="00000000" w:rsidDel="00000000" w:rsidP="00000000" w:rsidRDefault="00000000" w:rsidRPr="00000000" w14:paraId="0000002A">
            <w:pPr>
              <w:spacing w:after="260" w:before="240" w:line="240" w:lineRule="auto"/>
              <w:rPr>
                <w:sz w:val="20"/>
                <w:szCs w:val="20"/>
              </w:rPr>
            </w:pPr>
            <w:r>
              <w:rPr>
                <w:sz w:val="20"/>
                <w:szCs w:val="20"/>
                <w:rtl w:val="0"/>
              </w:rPr>
              <w:t xml:space="preserve">Near-threshold structuring (PayToBank, APM, Issuing).</w:t>
            </w:r>
          </w:p>
          <w:p w:rsidR="00000000" w:rsidDel="00000000" w:rsidP="00000000" w:rsidRDefault="00000000" w:rsidRPr="00000000" w14:paraId="0000002B">
            <w:pPr>
              <w:spacing w:after="240" w:before="240" w:line="240" w:lineRule="auto"/>
              <w:rPr>
                <w:sz w:val="20"/>
                <w:szCs w:val="20"/>
              </w:rPr>
            </w:pPr>
            <w:r>
              <w:rPr>
                <w:sz w:val="20"/>
                <w:szCs w:val="20"/>
                <w:rtl w:val="0"/>
              </w:rPr>
              <w:t xml:space="preserve">High-risk country share rules and Issuing cash-out outliers (see right).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2C">
            <w:pPr>
              <w:spacing w:after="260" w:before="240" w:line="240" w:lineRule="auto"/>
              <w:rPr>
                <w:sz w:val="20"/>
                <w:szCs w:val="20"/>
              </w:rPr>
            </w:pPr>
            <w:r>
              <w:rPr>
                <w:b w:val="1"/>
                <w:bCs w:val="1"/>
                <w:sz w:val="20"/>
                <w:szCs w:val="20"/>
                <w:rtl w:val="0"/>
              </w:rPr>
              <w:t xml:space="preserve">Full</w:t>
            </w:r>
            <w:r>
              <w:rPr>
                <w:sz w:val="20"/>
                <w:szCs w:val="20"/>
                <w:rtl w:val="0"/>
              </w:rPr>
              <w:t xml:space="preserve">: any payout to a Restricted country (over $0). PTB-ENT-ALL-ALL-MT-HRCVolumeAbove_v1</w:t>
            </w:r>
          </w:p>
          <w:p w:rsidR="00000000" w:rsidDel="00000000" w:rsidP="00000000" w:rsidRDefault="00000000" w:rsidRPr="00000000" w14:paraId="0000002D">
            <w:pPr>
              <w:spacing w:after="260" w:before="240" w:line="240" w:lineRule="auto"/>
              <w:rPr>
                <w:sz w:val="20"/>
                <w:szCs w:val="20"/>
              </w:rPr>
            </w:pPr>
            <w:r>
              <w:rPr>
                <w:b w:val="1"/>
                <w:bCs w:val="1"/>
                <w:sz w:val="20"/>
                <w:szCs w:val="20"/>
                <w:rtl w:val="0"/>
              </w:rPr>
              <w:t xml:space="preserve">Full</w:t>
            </w:r>
            <w:r>
              <w:rPr>
                <w:sz w:val="20"/>
                <w:szCs w:val="20"/>
                <w:rtl w:val="0"/>
              </w:rPr>
              <w:t xml:space="preserve">: any refund to a Restricted country. ur_single_002</w:t>
            </w:r>
          </w:p>
          <w:p w:rsidR="00000000" w:rsidDel="00000000" w:rsidP="00000000" w:rsidRDefault="00000000" w:rsidRPr="00000000" w14:paraId="0000002E">
            <w:pPr>
              <w:spacing w:after="260" w:before="240" w:line="240" w:lineRule="auto"/>
              <w:rPr>
                <w:sz w:val="20"/>
                <w:szCs w:val="20"/>
              </w:rPr>
            </w:pPr>
            <w:r>
              <w:rPr>
                <w:b w:val="1"/>
                <w:bCs w:val="1"/>
                <w:sz w:val="20"/>
                <w:szCs w:val="20"/>
                <w:rtl w:val="0"/>
              </w:rPr>
              <w:t xml:space="preserve">Partial</w:t>
            </w:r>
            <w:r>
              <w:rPr>
                <w:sz w:val="20"/>
                <w:szCs w:val="20"/>
                <w:rtl w:val="0"/>
              </w:rPr>
              <w:t xml:space="preserve">: share of volume from High Risk, Restricted or Unacceptable issuing countries (25/50/90%, or 2–20% for high-risk MCCs). ACQ-ENT-*-HRCShareAbove</w:t>
            </w:r>
          </w:p>
          <w:p w:rsidR="00000000" w:rsidDel="00000000" w:rsidP="00000000" w:rsidRDefault="00000000" w:rsidRPr="00000000" w14:paraId="0000002F">
            <w:pPr>
              <w:spacing w:after="260" w:before="240" w:line="240" w:lineRule="auto"/>
              <w:rPr>
                <w:sz w:val="20"/>
                <w:szCs w:val="20"/>
              </w:rPr>
            </w:pPr>
            <w:r>
              <w:rPr>
                <w:b w:val="1"/>
                <w:bCs w:val="1"/>
                <w:sz w:val="20"/>
                <w:szCs w:val="20"/>
                <w:rtl w:val="0"/>
              </w:rPr>
              <w:t xml:space="preserve">Partial</w:t>
            </w:r>
            <w:r>
              <w:rPr>
                <w:sz w:val="20"/>
                <w:szCs w:val="20"/>
                <w:rtl w:val="0"/>
              </w:rPr>
              <w:t xml:space="preserve">: percentile-based high-risk country spend. ISS-ENT-SPEND-…-HighRiskCountry…</w:t>
            </w:r>
          </w:p>
          <w:p w:rsidR="00000000" w:rsidDel="00000000" w:rsidP="00000000" w:rsidRDefault="00000000" w:rsidRPr="00000000" w14:paraId="00000030">
            <w:pPr>
              <w:spacing w:after="240" w:before="240" w:line="240" w:lineRule="auto"/>
              <w:rPr>
                <w:sz w:val="20"/>
                <w:szCs w:val="20"/>
              </w:rPr>
            </w:pPr>
            <w:r>
              <w:rPr>
                <w:b w:val="1"/>
                <w:bCs w:val="1"/>
                <w:sz w:val="20"/>
                <w:szCs w:val="20"/>
                <w:rtl w:val="0"/>
              </w:rPr>
              <w:t xml:space="preserve">Partial</w:t>
            </w:r>
            <w:r>
              <w:rPr>
                <w:sz w:val="20"/>
                <w:szCs w:val="20"/>
                <w:rtl w:val="0"/>
              </w:rPr>
              <w:t xml:space="preserve">: high-value payouts of $5,000+ to high-risk countries. PTC-ENT-ALL-ALL-MT-HRCShareAbove_v1</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tcPr>
          <w:p w:rsidR="00000000" w:rsidDel="00000000" w:rsidP="00000000" w:rsidRDefault="00000000" w:rsidRPr="00000000" w14:paraId="00000031">
            <w:pPr>
              <w:spacing w:line="240" w:lineRule="auto"/>
              <w:rPr>
                <w:sz w:val="20"/>
                <w:szCs w:val="20"/>
              </w:rPr>
            </w:pPr>
            <w:r>
              <w:rPr>
                <w:sz w:val="20"/>
                <w:szCs w:val="20"/>
                <w:rtl w:val="0"/>
              </w:rPr>
              <w:t xml:space="preserve">Gaps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2">
            <w:pPr>
              <w:spacing w:after="260" w:before="240" w:line="240" w:lineRule="auto"/>
              <w:rPr>
                <w:sz w:val="20"/>
                <w:szCs w:val="20"/>
              </w:rPr>
            </w:pPr>
            <w:r>
              <w:rPr>
                <w:sz w:val="20"/>
                <w:szCs w:val="20"/>
                <w:rtl w:val="0"/>
              </w:rPr>
              <w:t xml:space="preserve">Most rules are value or share thresholds, so low-value TF can sit below them.</w:t>
            </w:r>
          </w:p>
          <w:p w:rsidR="00000000" w:rsidDel="00000000" w:rsidP="00000000" w:rsidRDefault="00000000" w:rsidRPr="00000000" w14:paraId="00000033">
            <w:pPr>
              <w:spacing w:after="260" w:before="240" w:line="240" w:lineRule="auto"/>
              <w:rPr>
                <w:sz w:val="20"/>
                <w:szCs w:val="20"/>
              </w:rPr>
            </w:pPr>
            <w:r>
              <w:rPr>
                <w:sz w:val="20"/>
                <w:szCs w:val="20"/>
                <w:rtl w:val="0"/>
              </w:rPr>
              <w:t xml:space="preserve">No rule on charity or NPO payouts to high-risk or Restricted countries.</w:t>
            </w:r>
          </w:p>
          <w:p w:rsidR="00000000" w:rsidDel="00000000" w:rsidP="00000000" w:rsidRDefault="00000000" w:rsidRPr="00000000" w14:paraId="00000034">
            <w:pPr>
              <w:spacing w:after="240" w:before="240" w:line="240" w:lineRule="auto"/>
              <w:rPr>
                <w:sz w:val="20"/>
                <w:szCs w:val="20"/>
              </w:rPr>
            </w:pPr>
            <w:r>
              <w:rPr>
                <w:sz w:val="20"/>
                <w:szCs w:val="20"/>
                <w:rtl w:val="0"/>
              </w:rPr>
              <w:t xml:space="preserve">TM cannot establish intent. Name screening against UN, UAE and OFAC (SDN/SDGT) terrorist lists sits outside TM.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5">
            <w:pPr>
              <w:spacing w:after="260" w:before="240" w:line="240" w:lineRule="auto"/>
              <w:rPr>
                <w:sz w:val="20"/>
                <w:szCs w:val="20"/>
              </w:rPr>
            </w:pPr>
            <w:r>
              <w:rPr>
                <w:sz w:val="20"/>
                <w:szCs w:val="20"/>
                <w:rtl w:val="0"/>
              </w:rPr>
              <w:t xml:space="preserve">No zero-tolerance Restricted-country rule for Card Acquiring, PayToCard or Issuing. PayToCard Rule #11 ("RestrictedCountry") only covers Unacceptable countries.</w:t>
            </w:r>
          </w:p>
          <w:p w:rsidR="00000000" w:rsidDel="00000000" w:rsidP="00000000" w:rsidRDefault="00000000" w:rsidRPr="00000000" w14:paraId="00000036">
            <w:pPr>
              <w:spacing w:after="260" w:before="240" w:line="240" w:lineRule="auto"/>
              <w:rPr>
                <w:sz w:val="20"/>
                <w:szCs w:val="20"/>
              </w:rPr>
            </w:pPr>
            <w:commentRangeStart w:id="3"/>
            <w:r>
              <w:rPr>
                <w:sz w:val="20"/>
                <w:szCs w:val="20"/>
                <w:rtl w:val="0"/>
              </w:rPr>
              <w:t xml:space="preserve">Card Acquiring uses the issuing country, not traffic origin (IP)</w:t>
            </w:r>
            <w:commentRangeEnd w:id="3"/>
            <w:r>
              <w:commentReference w:id="3"/>
            </w:r>
            <w:r>
              <w:rPr>
                <w:sz w:val="20"/>
                <w:szCs w:val="20"/>
                <w:rtl w:val="0"/>
              </w:rPr>
              <w:t xml:space="preserve">.</w:t>
            </w:r>
          </w:p>
          <w:p w:rsidR="00000000" w:rsidDel="00000000" w:rsidP="00000000" w:rsidRDefault="00000000" w:rsidRPr="00000000" w14:paraId="00000037">
            <w:pPr>
              <w:spacing w:after="240" w:before="240" w:line="240" w:lineRule="auto"/>
              <w:rPr>
                <w:sz w:val="20"/>
                <w:szCs w:val="20"/>
              </w:rPr>
            </w:pPr>
            <w:r>
              <w:rPr>
                <w:sz w:val="20"/>
                <w:szCs w:val="20"/>
                <w:rtl w:val="0"/>
              </w:rPr>
              <w:t xml:space="preserve">The PayToBank rule runs weekly. The daily single-transaction rule (ptb_single_003) is deactivated.</w:t>
            </w:r>
          </w:p>
        </w:tc>
      </w:tr>
    </w:tbl>
    <w:p w:rsidR="00000000" w:rsidDel="00000000" w:rsidP="00000000" w:rsidRDefault="00000000" w:rsidRPr="00000000" w14:paraId="00000038">
      <w:pPr>
        <w:rPr/>
      </w:pPr>
      <w:r>
        <w:rPr>
          <w:rtl w:val="0"/>
        </w:rPr>
      </w:r>
    </w:p>
    <w:p w:rsidR="00000000" w:rsidDel="00000000" w:rsidP="00000000" w:rsidRDefault="00000000" w:rsidRPr="00000000" w14:paraId="00000039">
      <w:pPr>
        <w:rPr/>
      </w:pPr>
      <w:r>
        <w:rPr>
          <w:rtl w:val="0"/>
        </w:rPr>
      </w:r>
    </w:p>
    <w:p w:rsidR="00000000" w:rsidDel="00000000" w:rsidP="00000000" w:rsidRDefault="00000000" w:rsidRPr="00000000" w14:paraId="0000003A">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leb Lang" w:id="0" w:date="2026-10-21T19:39:28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CKO-LLC Implications: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does not have similar requirements in relation to significant/urgent cases needing expedited review/filing.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closest the US regs come to urgent risk is 31 CFR § 1020.320(b)(4) - Would stimulate immediate telephone notification to FinCEN hotline if we identify active TF risk or ongoing ML schemes for example.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the purposes of this urgent risk methodology, this appears only applicable to UAE.</w:t>
      </w:r>
    </w:p>
  </w:comment>
  <w:comment w:author="Caleb Lang" w:id="2" w:date="2026-10-21T20:39:34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days is the external regulatory expectation from the UAE , while 5 days is CKO’s internal SLA.</w:t>
      </w:r>
    </w:p>
  </w:comment>
  <w:comment w:author="Caleb Lang" w:id="1" w:date="2026-10-21T20:37:34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to explain the why behind this urgent risk pathway</w:t>
      </w:r>
    </w:p>
  </w:comment>
  <w:comment w:author="Caleb Lang" w:id="3" w:date="2026-10-21T21:04:56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call out if we can use this as a 2 or 3 step parameter for escalation to L3.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IF (Issuing Country = Restricted) + (Customer/Device IP = Restricted) + (HR MCC) ---&gt; Urgent Case, escalate to FCIU.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