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Significant risk at CKO: terrorist financing and Restricted countries</w:t>
      </w:r>
    </w:p>
    <w:p>
      <w:pPr>
        <w:spacing w:after="60" w:before="100"/>
      </w:pPr>
      <w:r>
        <w:rPr>
          <w:rFonts w:ascii="Roboto" w:cs="Roboto" w:eastAsia="Roboto" w:hAnsi="Roboto"/>
          <w:b/>
          <w:bCs/>
          <w:sz w:val="24"/>
          <w:szCs w:val="24"/>
        </w:rPr>
        <w:t xml:space="preserve">1. What is significant risk?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19"/>
          <w:szCs w:val="19"/>
        </w:rPr>
        <w:t xml:space="preserve">Significant risk</w:t>
      </w:r>
      <w:r>
        <w:rPr>
          <w:rFonts w:ascii="Roboto" w:cs="Roboto" w:eastAsia="Roboto" w:hAnsi="Roboto"/>
          <w:sz w:val="19"/>
          <w:szCs w:val="19"/>
        </w:rPr>
        <w:t xml:space="preserve"> is a financial crime risk that could expose CKO to serious legal, regulatory, financial or reputational harm if it materialises, and that standard monitoring cannot adequately manage. A significant risk needs </w:t>
      </w:r>
      <w:r>
        <w:rPr>
          <w:rFonts w:ascii="Roboto" w:cs="Roboto" w:eastAsia="Roboto" w:hAnsi="Roboto"/>
          <w:b/>
          <w:bCs/>
          <w:sz w:val="19"/>
          <w:szCs w:val="19"/>
        </w:rPr>
        <w:t xml:space="preserve">case-by-case compliance review</w:t>
      </w:r>
      <w:r>
        <w:rPr>
          <w:rFonts w:ascii="Roboto" w:cs="Roboto" w:eastAsia="Roboto" w:hAnsi="Roboto"/>
          <w:sz w:val="19"/>
          <w:szCs w:val="19"/>
        </w:rPr>
        <w:t xml:space="preserve"> rather than routine alert handling. Where suspicion is formed, it is treated as a </w:t>
      </w:r>
      <w:r>
        <w:rPr>
          <w:rFonts w:ascii="Roboto" w:cs="Roboto" w:eastAsia="Roboto" w:hAnsi="Roboto"/>
          <w:b/>
          <w:bCs/>
          <w:sz w:val="19"/>
          <w:szCs w:val="19"/>
        </w:rPr>
        <w:t xml:space="preserve">complex investigation</w:t>
      </w:r>
      <w:r>
        <w:rPr>
          <w:rFonts w:ascii="Roboto" w:cs="Roboto" w:eastAsia="Roboto" w:hAnsi="Roboto"/>
          <w:sz w:val="19"/>
          <w:szCs w:val="19"/>
        </w:rPr>
        <w:t xml:space="preserve"> under CBUAE AML Rulebook Section 4.5.</w:t>
      </w:r>
    </w:p>
    <w:p>
      <w:pPr>
        <w:spacing w:after="40"/>
      </w:pPr>
      <w:r>
        <w:rPr>
          <w:rFonts w:ascii="Roboto" w:cs="Roboto" w:eastAsia="Roboto" w:hAnsi="Roboto"/>
          <w:b/>
          <w:bCs/>
          <w:sz w:val="19"/>
          <w:szCs w:val="19"/>
        </w:rPr>
        <w:t xml:space="preserve">Reporting to the FIU: </w:t>
      </w:r>
      <w:r>
        <w:rPr>
          <w:rFonts w:ascii="Roboto" w:cs="Roboto" w:eastAsia="Roboto" w:hAnsi="Roboto"/>
          <w:sz w:val="19"/>
          <w:szCs w:val="19"/>
        </w:rPr>
        <w:t xml:space="preserve">an initial STR/SAR, labelled "Complex Investigation", within </w:t>
      </w:r>
      <w:r>
        <w:rPr>
          <w:rFonts w:ascii="Roboto" w:cs="Roboto" w:eastAsia="Roboto" w:hAnsi="Roboto"/>
          <w:b/>
          <w:bCs/>
          <w:sz w:val="19"/>
          <w:szCs w:val="19"/>
        </w:rPr>
        <w:t xml:space="preserve">15 business days</w:t>
      </w:r>
      <w:r>
        <w:rPr>
          <w:rFonts w:ascii="Roboto" w:cs="Roboto" w:eastAsia="Roboto" w:hAnsi="Roboto"/>
          <w:sz w:val="19"/>
          <w:szCs w:val="19"/>
        </w:rPr>
        <w:t xml:space="preserve"> of the alert, then a detailed follow-up within a further </w:t>
      </w:r>
      <w:r>
        <w:rPr>
          <w:rFonts w:ascii="Roboto" w:cs="Roboto" w:eastAsia="Roboto" w:hAnsi="Roboto"/>
          <w:b/>
          <w:bCs/>
          <w:sz w:val="19"/>
          <w:szCs w:val="19"/>
        </w:rPr>
        <w:t xml:space="preserve">30 business days</w:t>
      </w:r>
      <w:r>
        <w:rPr>
          <w:rFonts w:ascii="Roboto" w:cs="Roboto" w:eastAsia="Roboto" w:hAnsi="Roboto"/>
          <w:sz w:val="19"/>
          <w:szCs w:val="19"/>
        </w:rPr>
        <w:t xml:space="preserve">.</w:t>
      </w:r>
    </w:p>
    <w:p>
      <w:pPr>
        <w:spacing w:after="60" w:before="100"/>
      </w:pPr>
      <w:r>
        <w:rPr>
          <w:rFonts w:ascii="Roboto" w:cs="Roboto" w:eastAsia="Roboto" w:hAnsi="Roboto"/>
          <w:b/>
          <w:bCs/>
          <w:sz w:val="24"/>
          <w:szCs w:val="24"/>
        </w:rPr>
        <w:t xml:space="preserve">2. Significant risks for CKO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30"/>
        <w:gridCol w:w="483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Terrorist financing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Jurisdiction: Restricted countries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Terrorist financing (TF):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providing or collecting funds, by any means, directly or indirectly, knowing or intending that they will be used for terrorism or by a terrorist or terrorist organisation (UAE Federal Decree-Law No. 20 of 2018). Funds may come from legitimate sources and are often low in value, so TF is harder to detect than money laundering.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Restricted countries: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countries classified as "Restricted" in the CKO AML Geographic Risk Rating. Unlike "Unacceptable" countries (prohibited) and "High Risk" countries (enhanced monitoring), activity linked to a Restricted country needs compliance review on a case-by-case basis. High Risk and Unacceptable countries are outside this note.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Why it is significant for CKO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TF is a criminal offence with no minimum amount, so one transaction can be enough.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A link to a designated person or organisation triggers targeted financial sanctions obligations, not just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Serious regulatory, criminal and reputational exposure for CKO and its UAE licence.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Cross-border traffic at scale means exposure can enter through any CKO product.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The CBUAE complex investigation criteria require activity tied to restricted jurisdictions to be referred to the FIU for in-depth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Restricted countries often overlap with sanctions and TF risk.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How it may materialise at CKO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Charities and fundraising (MCC 8398):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donations paid with prepaid cards, or from cards issued in or near conflict zones, then moved on quickly.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Collection: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many low-value payments from different cards into one recipient account or wallet.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Movement: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money transfer (MCC 4829), PayToCard and PayToBank payouts to people in or near high-risk regions.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Conversion: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card funds converted to crypto (MCC 6051) and moved off-platform.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Issuing: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prepaid or programme cards used for cash withdrawals in or near conflict zones.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Card Acquiring: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captures on cards issued in a Restricted country, e.g. a travel agent sub-merchant with a Restricted country enabled (as in the Digital Zone case).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PayToBank / PayToCard: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payouts to bank accounts or cards in a Restricted country.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Unreferenced Refunds: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refunds sent to a Restricted country.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Issuing: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cardholder spend or cash withdrawals in a Restricted country.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Traffic origin: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a card issued elsewhere, used from a Restricted-country IP.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Live TM rules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Charity volume and prepaid share (MCC 8398).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ACQ-ENT-MCC8398-*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Prepaid share by merchant size.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ACQ-ENT-ALL-*-PrepaidShareAbove_v1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Many cards paying one recipient account (4 high-risk MCCs).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…-HiddenRelationshipStructuring_v1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Near-threshold structuring (PayToBank, APM, Issuing).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…NearThreshold…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High-risk country share rules and Issuing cash-out outliers (see right).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Full: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any payout to a Restricted country (over $0).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PTB-ENT-ALL-ALL-MT-HRCVolumeAbove_v1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Full: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any refund to a Restricted country.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ur_single_002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Partial: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share of volume from High Risk, Restricted or Unacceptable issuing countries (25/50/90%, or 2–20% for high-risk MCCs).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ACQ-ENT-*-HRCShareAbove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Partial: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percentile-based high-risk country spend.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ISS-ENT-SPEND-…-HighRiskCountry…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Partial: </w:t>
            </w:r>
            <w:r>
              <w:rPr>
                <w:rFonts w:ascii="Roboto" w:cs="Roboto" w:eastAsia="Roboto" w:hAnsi="Roboto"/>
                <w:sz w:val="17"/>
                <w:szCs w:val="17"/>
              </w:rPr>
              <w:t xml:space="preserve">high-value payouts of $5,000+ to high-risk countries. </w:t>
            </w:r>
            <w:r>
              <w:rPr>
                <w:rFonts w:ascii="Roboto" w:cs="Roboto" w:eastAsia="Roboto" w:hAnsi="Roboto"/>
                <w:i/>
                <w:iCs/>
                <w:sz w:val="15"/>
                <w:szCs w:val="15"/>
              </w:rPr>
              <w:t xml:space="preserve">PTC-ENT-ALL-ALL-MT-HRCShareAbove_v1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Gaps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Most rules are value or share thresholds, so low-value TF can sit below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No rule on charity or NPO payouts to high-risk or Restricted countries.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TM cannot establish intent. Name screening against UN and UAE terrorist lists sits outside TM.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No zero-tolerance Restricted-country rule for Card Acquiring, PayToCard or Issuing. PayToCard Rule #11 ("RestrictedCountry") only covers Unacceptable countries.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Card Acquiring uses issuing country, not traffic origin (IP).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The PayToBank rule runs weekly. The daily single-transaction rule (ptb_single_003) is deactivated.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Roboto" w:cs="Roboto" w:eastAsia="Roboto" w:hAnsi="Roboto"/>
                <w:b/>
                <w:bCs/>
                <w:sz w:val="17"/>
                <w:szCs w:val="17"/>
              </w:rPr>
              <w:t xml:space="preserve">Handling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Escalate any suspected TF to the MLRO immediately and treat it as significant risk.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Where a sanctions or terrorist list match exists, freeze without delay and report under UAE targeted financial sanctions rules.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File the STR/SAR as a complex investigation where the criteria are met.</w:t>
            </w:r>
          </w:p>
        </w:tc>
        <w:tc>
          <w:tcPr>
            <w:tcW w:type="dxa" w:w="4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Every Restricted-country alert goes to Compliance for case-by-case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Refer to the FIU for in-depth review, as the complex investigation criteria require.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Roboto" w:cs="Roboto" w:eastAsia="Roboto" w:hAnsi="Roboto"/>
                <w:sz w:val="17"/>
                <w:szCs w:val="17"/>
              </w:rPr>
              <w:t xml:space="preserve">Where suspicion is formed, file the STR/SAR labelled "Complex Investigation".</w:t>
            </w:r>
          </w:p>
        </w:tc>
      </w:tr>
    </w:tbl>
    <w:sectPr>
      <w:pgSz w:w="12240" w:h="15840" w:orient="portrait"/>
      <w:pgMar w:top="440" w:right="540" w:bottom="40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2026-10-21T13:52:51.543Z</dcterms:created>
  <dcterms:modified xsi:type="dcterms:W3CDTF">2026-10-21T13:52:51.543Z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