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Significant Risk at CKO</w:t>
      </w:r>
    </w:p>
    <w:p>
      <w:pPr>
        <w:spacing w:after="80"/>
      </w:pPr>
      <w:r>
        <w:rPr>
          <w:rFonts w:ascii="Arial" w:cs="Arial" w:eastAsia="Arial" w:hAnsi="Arial"/>
          <w:color w:val="595959"/>
          <w:sz w:val="22"/>
          <w:szCs w:val="22"/>
        </w:rPr>
        <w:t xml:space="preserve">Definition and triggers for an automated FCIU pathway</w:t>
      </w:r>
    </w:p>
    <w:p>
      <w:pPr>
        <w:pBdr>
          <w:bottom w:val="single" w:color="1F3864" w:sz="6" w:space="4"/>
        </w:pBdr>
        <w:spacing w:after="120"/>
      </w:pPr>
      <w:r>
        <w:rPr>
          <w:rFonts w:ascii="Arial" w:cs="Arial" w:eastAsia="Arial" w:hAnsi="Arial"/>
          <w:b/>
          <w:bCs/>
          <w:sz w:val="17"/>
          <w:szCs w:val="17"/>
        </w:rPr>
        <w:t xml:space="preserve">Purpose: </w:t>
      </w:r>
      <w:r>
        <w:rPr>
          <w:rFonts w:ascii="Arial" w:cs="Arial" w:eastAsia="Arial" w:hAnsi="Arial"/>
          <w:sz w:val="17"/>
          <w:szCs w:val="17"/>
        </w:rPr>
        <w:t xml:space="preserve">starting point for OCS to map the automated Significant Risk pathway.   </w:t>
      </w:r>
      <w:r>
        <w:rPr>
          <w:rFonts w:ascii="Arial" w:cs="Arial" w:eastAsia="Arial" w:hAnsi="Arial"/>
          <w:b/>
          <w:bCs/>
          <w:sz w:val="17"/>
          <w:szCs w:val="17"/>
        </w:rPr>
        <w:t xml:space="preserve">Status: </w:t>
      </w:r>
      <w:r>
        <w:rPr>
          <w:rFonts w:ascii="Arial" w:cs="Arial" w:eastAsia="Arial" w:hAnsi="Arial"/>
          <w:sz w:val="17"/>
          <w:szCs w:val="17"/>
        </w:rPr>
        <w:t xml:space="preserve">Draft v2, 26 Oct 2026. Pending UAE MLRO validation and US team confirmation (Section 5).</w:t>
      </w:r>
    </w:p>
    <w:p>
      <w:pPr>
        <w:pStyle w:val="Heading2"/>
        <w:pBdr>
          <w:bottom w:val="single" w:color="BFBFBF" w:sz="4" w:space="2"/>
        </w:pBdr>
        <w:spacing w:after="80" w:before="180"/>
      </w:pPr>
      <w:r>
        <w:rPr>
          <w:rFonts w:ascii="Arial" w:cs="Arial" w:eastAsia="Arial" w:hAnsi="Arial"/>
          <w:b/>
          <w:bCs/>
          <w:color w:val="1F3864"/>
          <w:sz w:val="23"/>
          <w:szCs w:val="23"/>
        </w:rPr>
        <w:t xml:space="preserve">1. Definition</w:t>
      </w:r>
    </w:p>
    <w:p>
      <w:pPr>
        <w:spacing w:after="80" w:line="260"/>
      </w:pPr>
      <w:r>
        <w:rPr>
          <w:rFonts w:ascii="Arial" w:cs="Arial" w:eastAsia="Arial" w:hAnsi="Arial"/>
          <w:sz w:val="19"/>
          <w:szCs w:val="19"/>
        </w:rPr>
        <w:t xml:space="preserve">A </w:t>
      </w:r>
      <w:r>
        <w:rPr>
          <w:rFonts w:ascii="Arial" w:cs="Arial" w:eastAsia="Arial" w:hAnsi="Arial"/>
          <w:b/>
          <w:bCs/>
          <w:sz w:val="19"/>
          <w:szCs w:val="19"/>
        </w:rPr>
        <w:t xml:space="preserve">significant risk</w:t>
      </w:r>
      <w:r>
        <w:rPr>
          <w:rFonts w:ascii="Arial" w:cs="Arial" w:eastAsia="Arial" w:hAnsi="Arial"/>
          <w:sz w:val="19"/>
          <w:szCs w:val="19"/>
        </w:rPr>
        <w:t xml:space="preserve"> is a financial crime risk that could expose CKO to serious legal, regulatory, criminal, financial or reputational harm if it materialises, and that routine L1/L2 alert handling cannot resolve fast enough or with enough expertise. It is defined by the severity of the exposure, not by any single regulator: the same activity is a significant risk whichever CKO entity it touches. An alert is a significant risk when it meets one or more of the triggers in Section 4, and it is then routed directly to FCIU.</w:t>
      </w:r>
    </w:p>
    <w:p>
      <w:pPr>
        <w:spacing w:after="80" w:line="260"/>
      </w:pPr>
      <w:r>
        <w:rPr>
          <w:rFonts w:ascii="Arial" w:cs="Arial" w:eastAsia="Arial" w:hAnsi="Arial"/>
          <w:b/>
          <w:bCs/>
          <w:sz w:val="19"/>
          <w:szCs w:val="19"/>
        </w:rPr>
        <w:t xml:space="preserve">UAE anchor: </w:t>
      </w:r>
      <w:r>
        <w:rPr>
          <w:rFonts w:ascii="Arial" w:cs="Arial" w:eastAsia="Arial" w:hAnsi="Arial"/>
          <w:sz w:val="19"/>
          <w:szCs w:val="19"/>
        </w:rPr>
        <w:t xml:space="preserve">CBUAE AML Rulebook Section 4.5 recognises "complex" investigations: unusual or suspicious activity with multi-faceted transaction patterns, multi-jurisdictional elements, or severe legal or employee implications that need extended analytical review.</w:t>
      </w:r>
      <w:r>
        <w:rPr>
          <w:rFonts w:ascii="Arial" w:cs="Arial" w:eastAsia="Arial" w:hAnsi="Arial"/>
          <w:i/>
          <w:iCs/>
          <w:color w:val="B45F06"/>
          <w:sz w:val="17"/>
          <w:szCs w:val="17"/>
        </w:rPr>
        <w:t xml:space="preserve"> [Pending MLRO validation]</w:t>
      </w:r>
    </w:p>
    <w:p>
      <w:pPr>
        <w:spacing w:after="80" w:line="260"/>
      </w:pPr>
      <w:r>
        <w:rPr>
          <w:rFonts w:ascii="Arial" w:cs="Arial" w:eastAsia="Arial" w:hAnsi="Arial"/>
          <w:b/>
          <w:bCs/>
          <w:sz w:val="19"/>
          <w:szCs w:val="19"/>
        </w:rPr>
        <w:t xml:space="preserve">US position: </w:t>
      </w:r>
      <w:r>
        <w:rPr>
          <w:rFonts w:ascii="Arial" w:cs="Arial" w:eastAsia="Arial" w:hAnsi="Arial"/>
          <w:sz w:val="19"/>
          <w:szCs w:val="19"/>
        </w:rPr>
        <w:t xml:space="preserve">there is no equivalent "complex case" category. The nearest obligations are immediate telephone notification to law enforcement for violations that require immediate attention (for example, suspected terrorist financing or ongoing money laundering schemes), alongside the SAR, and OFAC blocking and reject reporting for sanctions matches.</w:t>
      </w:r>
      <w:r>
        <w:rPr>
          <w:rFonts w:ascii="Arial" w:cs="Arial" w:eastAsia="Arial" w:hAnsi="Arial"/>
          <w:i/>
          <w:iCs/>
          <w:color w:val="B45F06"/>
          <w:sz w:val="17"/>
          <w:szCs w:val="17"/>
        </w:rPr>
        <w:t xml:space="preserve"> [US team to confirm]</w:t>
      </w:r>
    </w:p>
    <w:p>
      <w:pPr>
        <w:pStyle w:val="Heading2"/>
        <w:pBdr>
          <w:bottom w:val="single" w:color="BFBFBF" w:sz="4" w:space="2"/>
        </w:pBdr>
        <w:spacing w:after="80" w:before="180"/>
      </w:pPr>
      <w:r>
        <w:rPr>
          <w:rFonts w:ascii="Arial" w:cs="Arial" w:eastAsia="Arial" w:hAnsi="Arial"/>
          <w:b/>
          <w:bCs/>
          <w:color w:val="1F3864"/>
          <w:sz w:val="23"/>
          <w:szCs w:val="23"/>
        </w:rPr>
        <w:t xml:space="preserve">2. Why an automated bypass is needed</w:t>
      </w:r>
    </w:p>
    <w:p>
      <w:pPr>
        <w:spacing w:after="80" w:line="260"/>
      </w:pPr>
      <w:r>
        <w:rPr>
          <w:rFonts w:ascii="Arial" w:cs="Arial" w:eastAsia="Arial" w:hAnsi="Arial"/>
          <w:sz w:val="19"/>
          <w:szCs w:val="19"/>
        </w:rPr>
        <w:t xml:space="preserve">Significant risks carry obligations that are faster than standard alert handling allows. Standard transaction monitoring allows up to 27 calendar days across L1 triage and L2 investigation before a case reaches L3/FCIU. For the clocks below, that ageing in the first line of defence (1LoD) creates an unavoidable risk of regulatory breach. An automated pathway lets qualifying alerts bypass L1/L2 and go straight to FCIU, so they are investigated and escalated to the MLRO within the applicable timeframe.</w:t>
      </w:r>
    </w:p>
    <w:p>
      <w:pPr>
        <w:pStyle w:val="Heading2"/>
        <w:pBdr>
          <w:bottom w:val="single" w:color="BFBFBF" w:sz="4" w:space="2"/>
        </w:pBdr>
        <w:spacing w:after="80" w:before="180"/>
      </w:pPr>
      <w:r>
        <w:rPr>
          <w:rFonts w:ascii="Arial" w:cs="Arial" w:eastAsia="Arial" w:hAnsi="Arial"/>
          <w:b/>
          <w:bCs/>
          <w:color w:val="1F3864"/>
          <w:sz w:val="23"/>
          <w:szCs w:val="23"/>
        </w:rPr>
        <w:t xml:space="preserve">3. Regulatory clocks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600"/>
        <w:gridCol w:w="22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Jurisdiction</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Obligation</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Timeframe</w:t>
            </w:r>
          </w:p>
        </w:tc>
        <w:tc>
          <w:tcPr>
            <w:tcW w:type="dxa" w:w="2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Source</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UAE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Complex investigation resolved and reported to the FIU</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sz w:val="16"/>
                <w:szCs w:val="16"/>
              </w:rPr>
              <w:t xml:space="preserve">15 business days (vs 35 standard)</w:t>
            </w:r>
            <w:r>
              <w:rPr>
                <w:rFonts w:ascii="Arial" w:cs="Arial" w:eastAsia="Arial" w:hAnsi="Arial"/>
                <w:i/>
                <w:iCs/>
                <w:color w:val="B45F06"/>
                <w:sz w:val="15"/>
                <w:szCs w:val="15"/>
              </w:rPr>
              <w:t xml:space="preserve"> [MLRO to confirm]</w:t>
            </w:r>
          </w:p>
        </w:tc>
        <w:tc>
          <w:tcPr>
            <w:tcW w:type="dxa" w:w="2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CBUAE AML Rulebook s.4.5</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US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SAR filing</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30 calendar days from initial detection</w:t>
            </w:r>
          </w:p>
        </w:tc>
        <w:tc>
          <w:tcPr>
            <w:tcW w:type="dxa" w:w="2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sz w:val="16"/>
                <w:szCs w:val="16"/>
              </w:rPr>
              <w:t xml:space="preserve">31 CFR 1022.320 (MSBs) or 1020.320 (banks)</w:t>
            </w:r>
            <w:r>
              <w:rPr>
                <w:rFonts w:ascii="Arial" w:cs="Arial" w:eastAsia="Arial" w:hAnsi="Arial"/>
                <w:i/>
                <w:iCs/>
                <w:color w:val="B45F06"/>
                <w:sz w:val="15"/>
                <w:szCs w:val="15"/>
              </w:rPr>
              <w:t xml:space="preserve"> [US to confirm which applies to CKO-LLC]</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US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Immediate notification of violations requiring immediate attention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Immediately, by telephone to law enforcement, in addition to the SAR</w:t>
            </w:r>
          </w:p>
        </w:tc>
        <w:tc>
          <w:tcPr>
            <w:tcW w:type="dxa" w:w="2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As above</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US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OFAC blocked or rejected transaction report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Within 10 business days</w:t>
            </w:r>
          </w:p>
        </w:tc>
        <w:tc>
          <w:tcPr>
            <w:tcW w:type="dxa" w:w="2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31 CFR 501.603 / 501.604</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CKO (all)</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FCIU escalation to MLRO</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5 days</w:t>
            </w:r>
          </w:p>
        </w:tc>
        <w:tc>
          <w:tcPr>
            <w:tcW w:type="dxa" w:w="2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CKO internal SLA</w:t>
            </w:r>
          </w:p>
        </w:tc>
      </w:tr>
    </w:tbl>
    <w:p>
      <w:pPr>
        <w:pStyle w:val="Heading2"/>
        <w:pBdr>
          <w:bottom w:val="single" w:color="BFBFBF" w:sz="4" w:space="2"/>
        </w:pBdr>
        <w:spacing w:after="80" w:before="180"/>
      </w:pPr>
      <w:r>
        <w:rPr>
          <w:rFonts w:ascii="Arial" w:cs="Arial" w:eastAsia="Arial" w:hAnsi="Arial"/>
          <w:b/>
          <w:bCs/>
          <w:color w:val="1F3864"/>
          <w:sz w:val="23"/>
          <w:szCs w:val="23"/>
        </w:rPr>
        <w:t xml:space="preserve">4. Significant risk areas and proposed triggers</w:t>
      </w:r>
    </w:p>
    <w:p>
      <w:pPr>
        <w:spacing w:after="80" w:line="260"/>
      </w:pPr>
      <w:r>
        <w:rPr>
          <w:rFonts w:ascii="Arial" w:cs="Arial" w:eastAsia="Arial" w:hAnsi="Arial"/>
          <w:color w:val="595959"/>
          <w:sz w:val="17"/>
          <w:szCs w:val="17"/>
        </w:rPr>
        <w:t xml:space="preserve">Each row reads: what the regulation says, how it may show up at CKO, and the draft trigger OCS can build. Triggers are proposals for FCIU and OCS to calibrate; pay-ins and routine card activity stay in BAU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38"/>
        <w:gridCol w:w="27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Risk area</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Why it is significant</w:t>
            </w:r>
          </w:p>
        </w:tc>
        <w:tc>
          <w:tcPr>
            <w:tcW w:type="dxa" w:w="3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How it may appear at CKO</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Proposed trigger (draft)</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Terrorist financing (TF)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Criminal offence with no minimum amount; one transaction can be enough. Funds are often low value and from legitimate sources.</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Charity payments (MCC 8398) on prepaid or conflict-zone cards, moved on quickly. Many low-value cards paying one recipient. Money transfer (MCC 4829), PayToCard or PayToBank payouts to people in or near high-risk regions. Card funds converted to crypto (MCC 6051). Issuing cash withdrawals near conflict zones.</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Payout, unreferenced refund, crypto or remittance transfer to a conflict zone or Restricted country. Charity or NPO payouts to High Risk or Restricted countries.</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Restricted countries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sz w:val="16"/>
                <w:szCs w:val="16"/>
              </w:rPr>
              <w:t xml:space="preserve">CKO rating requiring case-by-case review; often overlaps with sanctions and TF risk. Fits the CBUAE multi-jurisdictional criterion.</w:t>
            </w:r>
            <w:r>
              <w:rPr>
                <w:rFonts w:ascii="Arial" w:cs="Arial" w:eastAsia="Arial" w:hAnsi="Arial"/>
                <w:i/>
                <w:iCs/>
                <w:color w:val="B45F06"/>
                <w:sz w:val="15"/>
                <w:szCs w:val="15"/>
              </w:rPr>
              <w:t xml:space="preserve"> [MLRO to confirm]</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Captures on cards issued in a Restricted country. PayToBank or PayToCard payouts, or unreferenced refunds, to a Restricted country. Issuing spend or cash withdrawals there. A card used from a Restricted-country IP.</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Any payout or refund to a Restricted country (over $0). Combined: issuing country = Restricted + device or customer IP = Restricted + high-risk MCC.</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Sanctions / targeted financial sanctions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A link to a designated person or entity triggers freezing and reporting duties, not just a SAR. OFAC 10-business-day reporting in the US.</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Merchant, owner (UBO) or payee matches the UN, UAE Local Terrorist List or OFAC SDN list. Activity in sanctioned regions. Ownership through a designated party.</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Possible or confirmed true match from name screening routed straight to FCIU (screening sits outside TM, so this needs a hand-off).</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Proliferation financing (PF)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Covered by UAE targeted financial sanctions alongside TF; severe criminal and licence exposure.</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Merchants selling dual-use goods, electronics or industrial equipment with links to Iran, DPRK or other proliferation-risk countries.</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sz w:val="16"/>
                <w:szCs w:val="16"/>
              </w:rPr>
              <w:t xml:space="preserve">High-risk MCC + Restricted or Unacceptable country.</w:t>
            </w:r>
            <w:r>
              <w:rPr>
                <w:rFonts w:ascii="Arial" w:cs="Arial" w:eastAsia="Arial" w:hAnsi="Arial"/>
                <w:i/>
                <w:iCs/>
                <w:color w:val="B45F06"/>
                <w:sz w:val="15"/>
                <w:szCs w:val="15"/>
              </w:rPr>
              <w:t xml:space="preserve"> [trigger to be defined]</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Employee or insider involvement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Named in CBUAE s.4.5 ("employee implications"); conflicts of interest make routine L1/L2 review unsuitable.</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An employee linked to a merchant, cardholder or counterparty. Overrides of controls or unusual onboarding approvals.</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Alert party matches the employee list, or manual referral from HR, Fraud or Internal Audit.</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Complex or multi-entity networks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CBUAE "multi-faceted" and "multi-jurisdictional" criteria.</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Transaction laundering or merchant collusion. Linked merchants across CKO entities. Many cards funnelling into a few accounts.</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Same party alerts in 2 or more CKO entities, or the hidden-relationship structuring rule fires on a high-risk MCC.</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External triggers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Authorities are already involved; deadlines are set externally.</w:t>
            </w:r>
          </w:p>
        </w:tc>
        <w:tc>
          <w:tcPr>
            <w:tcW w:type="dxa" w:w="30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Law enforcement or FIU requests, subpoenas, regulator queries, credible adverse media.</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Manual referral to FCIU (outside TM).</w:t>
            </w:r>
          </w:p>
        </w:tc>
      </w:tr>
    </w:tbl>
    <w:p>
      <w:pPr>
        <w:pStyle w:val="Heading2"/>
        <w:pBdr>
          <w:bottom w:val="single" w:color="BFBFBF" w:sz="4" w:space="2"/>
        </w:pBdr>
        <w:spacing w:after="80" w:before="180"/>
      </w:pPr>
      <w:r>
        <w:rPr>
          <w:rFonts w:ascii="Arial" w:cs="Arial" w:eastAsia="Arial" w:hAnsi="Arial"/>
          <w:b/>
          <w:bCs/>
          <w:color w:val="1F3864"/>
          <w:sz w:val="23"/>
          <w:szCs w:val="23"/>
        </w:rPr>
        <w:t xml:space="preserve">5. Open items before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2600"/>
        <w:gridCol w:w="2338"/>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Item</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Owner</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Status</w:t>
            </w:r>
          </w:p>
        </w:tc>
      </w:tr>
      <w:tr>
        <w:trPr>
          <w:cantSplit/>
        </w:trPr>
        <w:tc>
          <w:tcPr>
            <w:tcW w:type="dxa" w:w="47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Validate the definition, s.4.5 complex criteria and the 15-business-day timeframe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UAE MLRO</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Pending</w:t>
            </w:r>
          </w:p>
        </w:tc>
      </w:tr>
      <w:tr>
        <w:trPr>
          <w:cantSplit/>
        </w:trPr>
        <w:tc>
          <w:tcPr>
            <w:tcW w:type="dxa" w:w="47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Confirm whether Restricted-country activity is a CBUAE requirement or a CKO policy choice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UAE MLRO</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Pending</w:t>
            </w:r>
          </w:p>
        </w:tc>
      </w:tr>
      <w:tr>
        <w:trPr>
          <w:cantSplit/>
        </w:trPr>
        <w:tc>
          <w:tcPr>
            <w:tcW w:type="dxa" w:w="47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Confirm the SAR rule that applies to CKO-LLC (1022.320 or 1020.320) and whether the pathway applies to US cases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US team (Caleb Lang)</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Open</w:t>
            </w:r>
          </w:p>
        </w:tc>
      </w:tr>
      <w:tr>
        <w:trPr>
          <w:cantSplit/>
        </w:trPr>
        <w:tc>
          <w:tcPr>
            <w:tcW w:type="dxa" w:w="47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Add OFAC 10-business-day reporting to the pathway</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US team / Sanctions</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Open</w:t>
            </w:r>
          </w:p>
        </w:tc>
      </w:tr>
      <w:tr>
        <w:trPr>
          <w:cantSplit/>
        </w:trPr>
        <w:tc>
          <w:tcPr>
            <w:tcW w:type="dxa" w:w="47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Calibrate trigger thresholds and combination logic</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FCIU with OCS</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Open</w:t>
            </w:r>
          </w:p>
        </w:tc>
      </w:tr>
      <w:tr>
        <w:trPr>
          <w:cantSplit/>
        </w:trPr>
        <w:tc>
          <w:tcPr>
            <w:tcW w:type="dxa" w:w="47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Design the screening-to-FCIU hand-off for sanctions and TF matches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Screening / FCIU</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b w:val="false"/>
                <w:bCs w:val="false"/>
                <w:sz w:val="16"/>
                <w:szCs w:val="16"/>
              </w:rPr>
              <w:t xml:space="preserve">Open</w:t>
            </w:r>
          </w:p>
        </w:tc>
      </w:tr>
    </w:tbl>
    <w:p>
      <w:r>
        <w:br w:type="page"/>
      </w:r>
    </w:p>
    <w:p>
      <w:pPr>
        <w:pStyle w:val="Heading2"/>
        <w:pBdr>
          <w:bottom w:val="single" w:color="BFBFBF" w:sz="4" w:space="2"/>
        </w:pBdr>
        <w:spacing w:after="80" w:before="180"/>
      </w:pPr>
      <w:r>
        <w:rPr>
          <w:rFonts w:ascii="Arial" w:cs="Arial" w:eastAsia="Arial" w:hAnsi="Arial"/>
          <w:b/>
          <w:bCs/>
          <w:color w:val="1F3864"/>
          <w:sz w:val="23"/>
          <w:szCs w:val="23"/>
        </w:rPr>
        <w:t xml:space="preserve">Appendix: current TM coverage (TF and Restricted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Area</w:t>
            </w:r>
          </w:p>
        </w:tc>
        <w:tc>
          <w:tcPr>
            <w:tcW w:type="dxa" w:w="8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40" w:line="230"/>
            </w:pPr>
            <w:r>
              <w:rPr>
                <w:rFonts w:ascii="Arial" w:cs="Arial" w:eastAsia="Arial" w:hAnsi="Arial"/>
                <w:b/>
                <w:bCs/>
                <w:color w:val="FFFFFF"/>
                <w:sz w:val="16"/>
                <w:szCs w:val="16"/>
              </w:rPr>
              <w:t xml:space="preserve">Live TM rules</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Terrorist financing</w:t>
            </w:r>
          </w:p>
        </w:tc>
        <w:tc>
          <w:tcPr>
            <w:tcW w:type="dxa" w:w="81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sz w:val="16"/>
                <w:szCs w:val="16"/>
              </w:rPr>
              <w:t xml:space="preserve">Charity volume and prepaid share (MCC 8398): ACQ-ENT-MCC8398-*</w:t>
            </w:r>
          </w:p>
          <w:p>
            <w:pPr>
              <w:spacing w:after="40" w:line="230"/>
            </w:pPr>
            <w:r>
              <w:rPr>
                <w:rFonts w:ascii="Arial" w:cs="Arial" w:eastAsia="Arial" w:hAnsi="Arial"/>
                <w:sz w:val="16"/>
                <w:szCs w:val="16"/>
              </w:rPr>
              <w:t xml:space="preserve">Prepaid share by merchant size: ACQ-ENT-ALL-*-PrepaidShareAbove_v1</w:t>
            </w:r>
          </w:p>
          <w:p>
            <w:pPr>
              <w:spacing w:after="40" w:line="230"/>
            </w:pPr>
            <w:r>
              <w:rPr>
                <w:rFonts w:ascii="Arial" w:cs="Arial" w:eastAsia="Arial" w:hAnsi="Arial"/>
                <w:sz w:val="16"/>
                <w:szCs w:val="16"/>
              </w:rPr>
              <w:t xml:space="preserve">Many cards paying one recipient (4 high-risk MCCs): ACQ-ENT-MCC6012-6051-6211-7995-MT-HiddenRelationshipStructuring_v1</w:t>
            </w:r>
          </w:p>
          <w:p>
            <w:pPr>
              <w:spacing w:after="40" w:line="230"/>
            </w:pPr>
            <w:r>
              <w:rPr>
                <w:rFonts w:ascii="Arial" w:cs="Arial" w:eastAsia="Arial" w:hAnsi="Arial"/>
                <w:sz w:val="16"/>
                <w:szCs w:val="16"/>
              </w:rPr>
              <w:t xml:space="preserve">Near-threshold structuring (PayToBank, APM, Issuing); high-risk country share rules; Issuing cash-out outliers</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50"/>
              <w:left w:type="dxa" w:w="80"/>
              <w:bottom w:type="dxa" w:w="50"/>
              <w:right w:type="dxa" w:w="80"/>
            </w:tcMar>
          </w:tcPr>
          <w:p>
            <w:pPr>
              <w:spacing w:after="40" w:line="230"/>
            </w:pPr>
            <w:r>
              <w:rPr>
                <w:rFonts w:ascii="Arial" w:cs="Arial" w:eastAsia="Arial" w:hAnsi="Arial"/>
                <w:b/>
                <w:bCs/>
                <w:sz w:val="16"/>
                <w:szCs w:val="16"/>
              </w:rPr>
              <w:t xml:space="preserve">Restricted countries</w:t>
            </w:r>
          </w:p>
        </w:tc>
        <w:tc>
          <w:tcPr>
            <w:tcW w:type="dxa" w:w="81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line="230"/>
            </w:pPr>
            <w:r>
              <w:rPr>
                <w:rFonts w:ascii="Arial" w:cs="Arial" w:eastAsia="Arial" w:hAnsi="Arial"/>
                <w:sz w:val="16"/>
                <w:szCs w:val="16"/>
              </w:rPr>
              <w:t xml:space="preserve">Full: any payout to a Restricted country (over $0): PTB-ENT-ALL-ALL-MT-HRCVolumeAbove_v1</w:t>
            </w:r>
          </w:p>
          <w:p>
            <w:pPr>
              <w:spacing w:after="40" w:line="230"/>
            </w:pPr>
            <w:r>
              <w:rPr>
                <w:rFonts w:ascii="Arial" w:cs="Arial" w:eastAsia="Arial" w:hAnsi="Arial"/>
                <w:sz w:val="16"/>
                <w:szCs w:val="16"/>
              </w:rPr>
              <w:t xml:space="preserve">Full: any refund to a Restricted country: ur_single_002</w:t>
            </w:r>
          </w:p>
          <w:p>
            <w:pPr>
              <w:spacing w:after="40" w:line="230"/>
            </w:pPr>
            <w:r>
              <w:rPr>
                <w:rFonts w:ascii="Arial" w:cs="Arial" w:eastAsia="Arial" w:hAnsi="Arial"/>
                <w:sz w:val="16"/>
                <w:szCs w:val="16"/>
              </w:rPr>
              <w:t xml:space="preserve">Partial: share of volume from High Risk, Restricted or Unacceptable issuing countries (25/50/90%, or 2-20% for high-risk MCCs): ACQ-ENT-*-HRCShareAbove</w:t>
            </w:r>
          </w:p>
          <w:p>
            <w:pPr>
              <w:spacing w:after="40" w:line="230"/>
            </w:pPr>
            <w:r>
              <w:rPr>
                <w:rFonts w:ascii="Arial" w:cs="Arial" w:eastAsia="Arial" w:hAnsi="Arial"/>
                <w:sz w:val="16"/>
                <w:szCs w:val="16"/>
              </w:rPr>
              <w:t xml:space="preserve">Partial: percentile-based high-risk country spend: ISS-ENT-SPEND-...-HighRiskCountry...</w:t>
            </w:r>
          </w:p>
          <w:p>
            <w:pPr>
              <w:spacing w:after="40" w:line="230"/>
            </w:pPr>
            <w:r>
              <w:rPr>
                <w:rFonts w:ascii="Arial" w:cs="Arial" w:eastAsia="Arial" w:hAnsi="Arial"/>
                <w:sz w:val="16"/>
                <w:szCs w:val="16"/>
              </w:rPr>
              <w:t xml:space="preserve">Partial: payouts of $5,000+ to high-risk countries: PTC-ENT-ALL-ALL-MT-HRCShareAbove_v1</w:t>
            </w:r>
          </w:p>
        </w:tc>
      </w:tr>
    </w:tbl>
    <w:p>
      <w:pPr>
        <w:pStyle w:val="Heading2"/>
        <w:pBdr>
          <w:bottom w:val="single" w:color="BFBFBF" w:sz="4" w:space="2"/>
        </w:pBdr>
        <w:spacing w:after="80" w:before="180"/>
      </w:pPr>
      <w:r>
        <w:rPr>
          <w:rFonts w:ascii="Arial" w:cs="Arial" w:eastAsia="Arial" w:hAnsi="Arial"/>
          <w:b/>
          <w:bCs/>
          <w:color w:val="1F3864"/>
          <w:sz w:val="23"/>
          <w:szCs w:val="23"/>
        </w:rPr>
        <w:t xml:space="preserve">Current identified gaps</w:t>
      </w:r>
    </w:p>
    <w:p>
      <w:pPr>
        <w:pStyle w:val="ListParagraph"/>
        <w:numPr>
          <w:ilvl w:val="0"/>
          <w:numId w:val="2"/>
        </w:numPr>
        <w:spacing w:after="40" w:line="250"/>
      </w:pPr>
      <w:r>
        <w:rPr>
          <w:rFonts w:ascii="Arial" w:cs="Arial" w:eastAsia="Arial" w:hAnsi="Arial"/>
          <w:sz w:val="19"/>
          <w:szCs w:val="19"/>
        </w:rPr>
        <w:t xml:space="preserve">Most rules are value or share thresholds, so low-value TF can sit below them.</w:t>
      </w:r>
    </w:p>
    <w:p>
      <w:pPr>
        <w:pStyle w:val="ListParagraph"/>
        <w:numPr>
          <w:ilvl w:val="0"/>
          <w:numId w:val="2"/>
        </w:numPr>
        <w:spacing w:after="40" w:line="250"/>
      </w:pPr>
      <w:r>
        <w:rPr>
          <w:rFonts w:ascii="Arial" w:cs="Arial" w:eastAsia="Arial" w:hAnsi="Arial"/>
          <w:sz w:val="19"/>
          <w:szCs w:val="19"/>
        </w:rPr>
        <w:t xml:space="preserve">No rule on charity or NPO payouts to high-risk or Restricted countries.</w:t>
      </w:r>
    </w:p>
    <w:p>
      <w:pPr>
        <w:pStyle w:val="ListParagraph"/>
        <w:numPr>
          <w:ilvl w:val="0"/>
          <w:numId w:val="2"/>
        </w:numPr>
        <w:spacing w:after="40" w:line="250"/>
      </w:pPr>
      <w:r>
        <w:rPr>
          <w:rFonts w:ascii="Arial" w:cs="Arial" w:eastAsia="Arial" w:hAnsi="Arial"/>
          <w:sz w:val="19"/>
          <w:szCs w:val="19"/>
        </w:rPr>
        <w:t xml:space="preserve">TM cannot establish intent. Name screening against UN and UAE terrorist lists sits outside TM.</w:t>
      </w:r>
    </w:p>
    <w:p>
      <w:pPr>
        <w:pStyle w:val="ListParagraph"/>
        <w:numPr>
          <w:ilvl w:val="0"/>
          <w:numId w:val="2"/>
        </w:numPr>
        <w:spacing w:after="40" w:line="250"/>
      </w:pPr>
      <w:r>
        <w:rPr>
          <w:rFonts w:ascii="Arial" w:cs="Arial" w:eastAsia="Arial" w:hAnsi="Arial"/>
          <w:sz w:val="19"/>
          <w:szCs w:val="19"/>
        </w:rPr>
        <w:t xml:space="preserve">No zero-tolerance Restricted-country rule for Card Acquiring, PayToCard or Issuing. PayToCard Rule #11 ("RestrictedCountry") only covers Unacceptable countries.</w:t>
      </w:r>
    </w:p>
    <w:p>
      <w:pPr>
        <w:pStyle w:val="ListParagraph"/>
        <w:numPr>
          <w:ilvl w:val="0"/>
          <w:numId w:val="2"/>
        </w:numPr>
        <w:spacing w:after="40" w:line="250"/>
      </w:pPr>
      <w:r>
        <w:rPr>
          <w:rFonts w:ascii="Arial" w:cs="Arial" w:eastAsia="Arial" w:hAnsi="Arial"/>
          <w:sz w:val="19"/>
          <w:szCs w:val="19"/>
        </w:rPr>
        <w:t xml:space="preserve">Card Acquiring uses the issuing country, not traffic origin (IP).</w:t>
      </w:r>
    </w:p>
    <w:p>
      <w:pPr>
        <w:pStyle w:val="ListParagraph"/>
        <w:numPr>
          <w:ilvl w:val="0"/>
          <w:numId w:val="2"/>
        </w:numPr>
        <w:spacing w:after="40" w:line="250"/>
      </w:pPr>
      <w:r>
        <w:rPr>
          <w:rFonts w:ascii="Arial" w:cs="Arial" w:eastAsia="Arial" w:hAnsi="Arial"/>
          <w:sz w:val="19"/>
          <w:szCs w:val="19"/>
        </w:rPr>
        <w:t xml:space="preserve">The PayToBank rule runs weekly. The daily single-transaction rule (ptb_single_003) is deactivated.</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4"/>
        <w:szCs w:val="14"/>
      </w:rPr>
      <w:t xml:space="preserve">CKO FCIU | Draft, internal | 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2026-10-26T12:58:49.086Z</dcterms:created>
  <dcterms:modified xsi:type="dcterms:W3CDTF">2026-10-26T12:58:49.104Z</dcterms:modified>
</cp:coreProperties>
</file>

<file path=docProps/custom.xml><?xml version="1.0" encoding="utf-8"?>
<Properties xmlns="http://schemas.openxmlformats.org/officeDocument/2006/custom-properties" xmlns:vt="http://schemas.openxmlformats.org/officeDocument/2006/docPropsVTypes"/>
</file>