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Full</w:t>
      </w:r>
      <w:proofErr w:type="spellEnd"/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DC0B91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DC0B91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DC0B91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DC0B91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DC0B9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DC0B91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9644F0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33B95B04" w14:textId="10293CF8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F2DE4">
        <w:rPr>
          <w:rFonts w:ascii="Arial" w:hAnsi="Arial" w:cs="Arial"/>
          <w:sz w:val="24"/>
          <w:szCs w:val="24"/>
          <w:lang w:eastAsia="pt-BR"/>
        </w:rPr>
        <w:t>Muitas doenças comuns no Brasil e no mundo deixaram de ser um problema de saúde pública por causa da vacinação massiva da população.</w:t>
      </w:r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3D4FF6BE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Nas clínicas públicas, são disponibilizadas de forma gratuita para toda população brasileira as vacinas recomendadas pelo Ministério da Saúde e que fazem parte do Calendário Nacional de Vacinação.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7508950C" w:rsidR="00796B84" w:rsidRPr="00796B84" w:rsidRDefault="000552CC" w:rsidP="00473D1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visualizar de maneira clara e simples os principais elementos desse tipo de negócio e entender como as clínicas de imunização criam, entregam e capturam valor, foi elaborado um Business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Model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 w:rsidR="00BA411A">
        <w:rPr>
          <w:rFonts w:ascii="Arial" w:hAnsi="Arial" w:cs="Arial"/>
          <w:sz w:val="24"/>
          <w:szCs w:val="24"/>
          <w:lang w:eastAsia="pt-BR"/>
        </w:rPr>
        <w:t xml:space="preserve"> que pode</w:t>
      </w:r>
      <w:r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796B84" w:rsidRPr="00796B84">
        <w:rPr>
          <w:rFonts w:ascii="Arial" w:hAnsi="Arial" w:cs="Arial"/>
        </w:rPr>
        <w:t xml:space="preserve">Figura </w:t>
      </w:r>
      <w:r w:rsidR="00796B84" w:rsidRPr="00796B84">
        <w:rPr>
          <w:rFonts w:ascii="Arial" w:hAnsi="Arial" w:cs="Arial"/>
          <w:noProof/>
        </w:rPr>
        <w:t>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</w:p>
    <w:p w14:paraId="054C4D4A" w14:textId="4B84A868" w:rsidR="00FD4DC1" w:rsidRDefault="009A7D30" w:rsidP="00796B84">
      <w:pPr>
        <w:pStyle w:val="Legenda"/>
        <w:jc w:val="center"/>
        <w:rPr>
          <w:rFonts w:ascii="Arial" w:hAnsi="Arial" w:cs="Arial"/>
        </w:rPr>
      </w:pPr>
      <w:bookmarkStart w:id="3" w:name="_Ref128527052"/>
      <w: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15pt;height:310.55pt">
            <v:imagedata r:id="rId9" o:title=""/>
          </v:shape>
        </w:pict>
      </w:r>
    </w:p>
    <w:p w14:paraId="6C1443F0" w14:textId="654AE551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Pr="00796B84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</w:t>
      </w:r>
      <w:proofErr w:type="spellStart"/>
      <w:r w:rsidRPr="00796B84">
        <w:rPr>
          <w:rFonts w:ascii="Arial" w:hAnsi="Arial" w:cs="Arial"/>
        </w:rPr>
        <w:t>Model</w:t>
      </w:r>
      <w:proofErr w:type="spellEnd"/>
      <w:r w:rsidRPr="00796B84">
        <w:rPr>
          <w:rFonts w:ascii="Arial" w:hAnsi="Arial" w:cs="Arial"/>
        </w:rPr>
        <w:t xml:space="preserve"> </w:t>
      </w:r>
      <w:proofErr w:type="spellStart"/>
      <w:r w:rsidRPr="00796B84">
        <w:rPr>
          <w:rFonts w:ascii="Arial" w:hAnsi="Arial" w:cs="Arial"/>
        </w:rPr>
        <w:t>Canvas</w:t>
      </w:r>
      <w:proofErr w:type="spellEnd"/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89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avaliação do público alvo é uma das etapas críticas no desenvolvimento </w:t>
      </w:r>
      <w:r>
        <w:rPr>
          <w:rFonts w:ascii="Arial" w:hAnsi="Arial" w:cs="Arial"/>
          <w:sz w:val="24"/>
          <w:szCs w:val="24"/>
          <w:lang w:eastAsia="pt-BR"/>
        </w:rPr>
        <w:t>de um software</w:t>
      </w:r>
      <w:r>
        <w:rPr>
          <w:rFonts w:ascii="Arial" w:hAnsi="Arial" w:cs="Arial"/>
          <w:sz w:val="24"/>
          <w:szCs w:val="24"/>
          <w:lang w:eastAsia="pt-BR"/>
        </w:rPr>
        <w:t>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969"/>
        <w:gridCol w:w="3716"/>
      </w:tblGrid>
      <w:tr w:rsidR="00DC0B91" w:rsidRPr="00DC0B91" w14:paraId="5DACE8B6" w14:textId="77777777" w:rsidTr="00DC0B91">
        <w:tc>
          <w:tcPr>
            <w:tcW w:w="1809" w:type="dxa"/>
            <w:shd w:val="clear" w:color="auto" w:fill="D9D9D9"/>
          </w:tcPr>
          <w:p w14:paraId="4F0B2515" w14:textId="17A5D60D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3969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3716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DC0B91">
        <w:tc>
          <w:tcPr>
            <w:tcW w:w="1809" w:type="dxa"/>
            <w:shd w:val="clear" w:color="auto" w:fill="auto"/>
          </w:tcPr>
          <w:p w14:paraId="4D686FD3" w14:textId="1581847A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3969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esponsável por gerenciar as operações diárias da clínica, incluindo a gestão de recursos humanos e financeiros</w:t>
            </w:r>
          </w:p>
        </w:tc>
        <w:tc>
          <w:tcPr>
            <w:tcW w:w="3716" w:type="dxa"/>
            <w:shd w:val="clear" w:color="auto" w:fill="auto"/>
          </w:tcPr>
          <w:p w14:paraId="5709A98F" w14:textId="1CE82E88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er acesso a dados de estoque de vacinas, relatórios de vacinação, de descartes de vacina e de faturamento.</w:t>
            </w:r>
          </w:p>
          <w:p w14:paraId="453A7BC2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6C861C4C" w14:textId="77777777" w:rsidTr="00DC0B91">
        <w:tc>
          <w:tcPr>
            <w:tcW w:w="1809" w:type="dxa"/>
            <w:shd w:val="clear" w:color="auto" w:fill="auto"/>
          </w:tcPr>
          <w:p w14:paraId="7D7D1675" w14:textId="43F41BC0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3969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3716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onitorar estoque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vacinas e suprimentos; acompanhar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vacinas a vencer;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erencia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informações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DC0B91">
        <w:tc>
          <w:tcPr>
            <w:tcW w:w="1809" w:type="dxa"/>
            <w:shd w:val="clear" w:color="auto" w:fill="auto"/>
          </w:tcPr>
          <w:p w14:paraId="6FF8882B" w14:textId="19962834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3969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3716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DC0B91">
        <w:tc>
          <w:tcPr>
            <w:tcW w:w="1809" w:type="dxa"/>
            <w:shd w:val="clear" w:color="auto" w:fill="auto"/>
          </w:tcPr>
          <w:p w14:paraId="3B9B51F7" w14:textId="2F65F4AF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3969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3716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DC0B91">
        <w:tc>
          <w:tcPr>
            <w:tcW w:w="1809" w:type="dxa"/>
            <w:shd w:val="clear" w:color="auto" w:fill="auto"/>
          </w:tcPr>
          <w:p w14:paraId="6F7FB9BB" w14:textId="43CC478A" w:rsidR="009057B5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3969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3716" w:type="dxa"/>
            <w:shd w:val="clear" w:color="auto" w:fill="auto"/>
          </w:tcPr>
          <w:p w14:paraId="6DBD5F41" w14:textId="302F5DA8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 seus registros de vacinação</w:t>
            </w:r>
          </w:p>
        </w:tc>
      </w:tr>
    </w:tbl>
    <w:p w14:paraId="4A6FAF00" w14:textId="077E5A56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Mapeamento do público alvo</w:t>
      </w:r>
    </w:p>
    <w:p w14:paraId="472F5658" w14:textId="77777777" w:rsidR="0010045F" w:rsidRPr="000D402F" w:rsidRDefault="0010045F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74532090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536573C8" w:rsidR="00F44218" w:rsidRPr="000D402F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</w:p>
    <w:p w14:paraId="6A94539B" w14:textId="6612B972" w:rsidR="00F44218" w:rsidRPr="00073CD6" w:rsidRDefault="00F44218" w:rsidP="00F4421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bookmarkStart w:id="6" w:name="_GoBack"/>
      <w:bookmarkEnd w:id="6"/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74532091"/>
      <w:r w:rsidRPr="000D402F">
        <w:rPr>
          <w:lang w:val="pt-BR" w:eastAsia="pt-BR"/>
        </w:rPr>
        <w:t>2. Modelagem</w:t>
      </w:r>
      <w:bookmarkEnd w:id="7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7453209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8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9" w:name="_Toc74532093"/>
      <w:r w:rsidRPr="000D402F">
        <w:rPr>
          <w:lang w:val="pt-BR" w:eastAsia="pt-BR"/>
        </w:rPr>
        <w:t>2.2. Atores</w:t>
      </w:r>
      <w:bookmarkEnd w:id="9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10" w:name="_Toc74532094"/>
      <w:r>
        <w:rPr>
          <w:lang w:eastAsia="pt-BR"/>
        </w:rPr>
        <w:t>2.3. Detalhamento dos casos de uso</w:t>
      </w:r>
      <w:bookmarkEnd w:id="10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 xml:space="preserve">Esse detalhamento deve incluir uma descrição do caso de uso, a lista de atores que participam do caso de uso,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pré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pós-condições e os fluxos de eventos (básico, alternativo, de exceção,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sub-fluxos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1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11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2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2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3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3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4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4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diagramas que retratem a arquitetura da solução (recomenda-se o </w:t>
      </w:r>
      <w:hyperlink r:id="rId10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5" w:name="_Toc74532099"/>
      <w:r>
        <w:rPr>
          <w:lang w:eastAsia="pt-BR"/>
        </w:rPr>
        <w:t>3.2. Arquitetura da informação</w:t>
      </w:r>
      <w:bookmarkEnd w:id="15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6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6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7" w:name="_Toc74532101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7"/>
      <w:proofErr w:type="spellEnd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8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9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9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0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screencast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1" w:name="_Toc351475134"/>
      <w:bookmarkStart w:id="22" w:name="_Toc297133353"/>
      <w:r>
        <w:br w:type="page"/>
      </w:r>
      <w:bookmarkStart w:id="23" w:name="_Toc74532105"/>
      <w:r w:rsidR="004D2758" w:rsidRPr="00D3159F">
        <w:lastRenderedPageBreak/>
        <w:t>REFERÊNCIAS</w:t>
      </w:r>
      <w:bookmarkEnd w:id="21"/>
      <w:bookmarkEnd w:id="22"/>
      <w:bookmarkEnd w:id="2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headerReference w:type="default" r:id="rId11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DC6C2" w14:textId="77777777" w:rsidR="00DC0B91" w:rsidRDefault="00DC0B91" w:rsidP="0066706F">
      <w:pPr>
        <w:spacing w:after="0" w:line="240" w:lineRule="auto"/>
      </w:pPr>
      <w:r>
        <w:separator/>
      </w:r>
    </w:p>
  </w:endnote>
  <w:endnote w:type="continuationSeparator" w:id="0">
    <w:p w14:paraId="7576F034" w14:textId="77777777" w:rsidR="00DC0B91" w:rsidRDefault="00DC0B9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BDBF" w14:textId="77777777" w:rsidR="00DD5A68" w:rsidRDefault="00DD5A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1246" w14:textId="77777777" w:rsidR="00DC0B91" w:rsidRDefault="00DC0B91" w:rsidP="0066706F">
      <w:pPr>
        <w:spacing w:after="0" w:line="240" w:lineRule="auto"/>
      </w:pPr>
      <w:r>
        <w:separator/>
      </w:r>
    </w:p>
  </w:footnote>
  <w:footnote w:type="continuationSeparator" w:id="0">
    <w:p w14:paraId="0D982929" w14:textId="77777777" w:rsidR="00DC0B91" w:rsidRDefault="00DC0B9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6C4C"/>
    <w:multiLevelType w:val="hybridMultilevel"/>
    <w:tmpl w:val="CA40A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2"/>
  </w:num>
  <w:num w:numId="5">
    <w:abstractNumId w:val="7"/>
  </w:num>
  <w:num w:numId="6">
    <w:abstractNumId w:val="17"/>
  </w:num>
  <w:num w:numId="7">
    <w:abstractNumId w:val="15"/>
  </w:num>
  <w:num w:numId="8">
    <w:abstractNumId w:val="23"/>
  </w:num>
  <w:num w:numId="9">
    <w:abstractNumId w:val="18"/>
  </w:num>
  <w:num w:numId="10">
    <w:abstractNumId w:val="1"/>
  </w:num>
  <w:num w:numId="11">
    <w:abstractNumId w:val="3"/>
  </w:num>
  <w:num w:numId="12">
    <w:abstractNumId w:val="11"/>
  </w:num>
  <w:num w:numId="13">
    <w:abstractNumId w:val="10"/>
  </w:num>
  <w:num w:numId="14">
    <w:abstractNumId w:val="13"/>
  </w:num>
  <w:num w:numId="15">
    <w:abstractNumId w:val="2"/>
  </w:num>
  <w:num w:numId="16">
    <w:abstractNumId w:val="12"/>
  </w:num>
  <w:num w:numId="17">
    <w:abstractNumId w:val="5"/>
  </w:num>
  <w:num w:numId="18">
    <w:abstractNumId w:val="6"/>
  </w:num>
  <w:num w:numId="19">
    <w:abstractNumId w:val="19"/>
  </w:num>
  <w:num w:numId="20">
    <w:abstractNumId w:val="16"/>
  </w:num>
  <w:num w:numId="21">
    <w:abstractNumId w:val="9"/>
  </w:num>
  <w:num w:numId="22">
    <w:abstractNumId w:val="0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552CC"/>
    <w:rsid w:val="00063B62"/>
    <w:rsid w:val="00073B73"/>
    <w:rsid w:val="00073CD6"/>
    <w:rsid w:val="000938B6"/>
    <w:rsid w:val="000D402F"/>
    <w:rsid w:val="000D5532"/>
    <w:rsid w:val="000E0775"/>
    <w:rsid w:val="000F0B82"/>
    <w:rsid w:val="000F45C0"/>
    <w:rsid w:val="0010045F"/>
    <w:rsid w:val="00114AF7"/>
    <w:rsid w:val="001176B6"/>
    <w:rsid w:val="001176E7"/>
    <w:rsid w:val="00121A88"/>
    <w:rsid w:val="00122F28"/>
    <w:rsid w:val="00124CF6"/>
    <w:rsid w:val="00136D11"/>
    <w:rsid w:val="0014458A"/>
    <w:rsid w:val="00154A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C53FB"/>
    <w:rsid w:val="002D2124"/>
    <w:rsid w:val="002E4099"/>
    <w:rsid w:val="002E6D99"/>
    <w:rsid w:val="002E769F"/>
    <w:rsid w:val="003159F8"/>
    <w:rsid w:val="0034032B"/>
    <w:rsid w:val="00345F35"/>
    <w:rsid w:val="003474EE"/>
    <w:rsid w:val="0037288B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3D15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06928"/>
    <w:rsid w:val="00512503"/>
    <w:rsid w:val="00517696"/>
    <w:rsid w:val="00531A58"/>
    <w:rsid w:val="00532A0A"/>
    <w:rsid w:val="005401A9"/>
    <w:rsid w:val="00543887"/>
    <w:rsid w:val="005579A2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30A"/>
    <w:rsid w:val="005C2B1B"/>
    <w:rsid w:val="005C60AA"/>
    <w:rsid w:val="005C6705"/>
    <w:rsid w:val="005E2CC0"/>
    <w:rsid w:val="005F0943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10D3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0D5"/>
    <w:rsid w:val="00732962"/>
    <w:rsid w:val="00735214"/>
    <w:rsid w:val="00736F3B"/>
    <w:rsid w:val="00740212"/>
    <w:rsid w:val="007456D9"/>
    <w:rsid w:val="0074650F"/>
    <w:rsid w:val="00750657"/>
    <w:rsid w:val="00751250"/>
    <w:rsid w:val="00765311"/>
    <w:rsid w:val="00765BC4"/>
    <w:rsid w:val="00765CE1"/>
    <w:rsid w:val="00775ACD"/>
    <w:rsid w:val="00782988"/>
    <w:rsid w:val="00790655"/>
    <w:rsid w:val="00796B84"/>
    <w:rsid w:val="007B0084"/>
    <w:rsid w:val="007B54BA"/>
    <w:rsid w:val="007C2A6A"/>
    <w:rsid w:val="007C501A"/>
    <w:rsid w:val="007C5DAF"/>
    <w:rsid w:val="007E3010"/>
    <w:rsid w:val="007E652C"/>
    <w:rsid w:val="007E7432"/>
    <w:rsid w:val="007F2DE4"/>
    <w:rsid w:val="0080050D"/>
    <w:rsid w:val="00800A41"/>
    <w:rsid w:val="008273C3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057B5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32C0"/>
    <w:rsid w:val="0094743F"/>
    <w:rsid w:val="00950843"/>
    <w:rsid w:val="00956137"/>
    <w:rsid w:val="00961E57"/>
    <w:rsid w:val="0096435A"/>
    <w:rsid w:val="009644F0"/>
    <w:rsid w:val="00976293"/>
    <w:rsid w:val="009775B2"/>
    <w:rsid w:val="0098661F"/>
    <w:rsid w:val="00987BAA"/>
    <w:rsid w:val="00994F42"/>
    <w:rsid w:val="009A1198"/>
    <w:rsid w:val="009A4A55"/>
    <w:rsid w:val="009A7D30"/>
    <w:rsid w:val="009B176B"/>
    <w:rsid w:val="009D049A"/>
    <w:rsid w:val="009D1278"/>
    <w:rsid w:val="009E0ABC"/>
    <w:rsid w:val="009E6311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2A9"/>
    <w:rsid w:val="00B052F6"/>
    <w:rsid w:val="00B05E41"/>
    <w:rsid w:val="00B10624"/>
    <w:rsid w:val="00B25C1A"/>
    <w:rsid w:val="00B25DC9"/>
    <w:rsid w:val="00B27E8E"/>
    <w:rsid w:val="00B30844"/>
    <w:rsid w:val="00B30AF5"/>
    <w:rsid w:val="00B4397E"/>
    <w:rsid w:val="00B63282"/>
    <w:rsid w:val="00B75BFC"/>
    <w:rsid w:val="00B76765"/>
    <w:rsid w:val="00B81BC8"/>
    <w:rsid w:val="00B834FE"/>
    <w:rsid w:val="00B838DD"/>
    <w:rsid w:val="00B9677D"/>
    <w:rsid w:val="00BA04DD"/>
    <w:rsid w:val="00BA411A"/>
    <w:rsid w:val="00BB7C65"/>
    <w:rsid w:val="00BC194D"/>
    <w:rsid w:val="00BC359F"/>
    <w:rsid w:val="00BD0722"/>
    <w:rsid w:val="00BD58F8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3FFC"/>
    <w:rsid w:val="00C879B9"/>
    <w:rsid w:val="00C90C93"/>
    <w:rsid w:val="00C97B8F"/>
    <w:rsid w:val="00CA602E"/>
    <w:rsid w:val="00CB3164"/>
    <w:rsid w:val="00CB3B97"/>
    <w:rsid w:val="00CD00A4"/>
    <w:rsid w:val="00CD5F66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0B91"/>
    <w:rsid w:val="00DC3E38"/>
    <w:rsid w:val="00DC5149"/>
    <w:rsid w:val="00DD0EFA"/>
    <w:rsid w:val="00DD5A68"/>
    <w:rsid w:val="00DD695B"/>
    <w:rsid w:val="00DE66B7"/>
    <w:rsid w:val="00DF16A0"/>
    <w:rsid w:val="00E140A4"/>
    <w:rsid w:val="00E21B1C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2012"/>
    <w:rsid w:val="00EB725B"/>
    <w:rsid w:val="00ED0333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44218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D4DC1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3D43-52BA-49B6-9EC0-F37D98F0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1581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10100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30</cp:revision>
  <cp:lastPrinted>2013-03-18T18:49:00Z</cp:lastPrinted>
  <dcterms:created xsi:type="dcterms:W3CDTF">2019-06-10T02:33:00Z</dcterms:created>
  <dcterms:modified xsi:type="dcterms:W3CDTF">2023-03-01T14:56:00Z</dcterms:modified>
</cp:coreProperties>
</file>